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0549" w14:textId="5CDA743F" w:rsidR="00874AAB" w:rsidRPr="003157E4" w:rsidRDefault="00874AAB" w:rsidP="00816679">
      <w:pPr>
        <w:spacing w:after="0"/>
        <w:jc w:val="center"/>
        <w:rPr>
          <w:rFonts w:ascii="Arial" w:hAnsi="Arial" w:cs="Arial"/>
          <w:b/>
          <w:sz w:val="20"/>
          <w:szCs w:val="20"/>
        </w:rPr>
      </w:pPr>
      <w:r w:rsidRPr="003157E4">
        <w:rPr>
          <w:rFonts w:ascii="Arial" w:hAnsi="Arial" w:cs="Arial"/>
          <w:b/>
          <w:sz w:val="20"/>
          <w:szCs w:val="20"/>
        </w:rPr>
        <w:t>Global Partnership for Social Accountability (GPSA)</w:t>
      </w:r>
    </w:p>
    <w:p w14:paraId="4558761A" w14:textId="78989266" w:rsidR="00874AAB" w:rsidRPr="003157E4" w:rsidRDefault="00874AAB" w:rsidP="00816679">
      <w:pPr>
        <w:spacing w:after="0"/>
        <w:jc w:val="center"/>
        <w:rPr>
          <w:rFonts w:ascii="Arial" w:hAnsi="Arial" w:cs="Arial"/>
          <w:b/>
          <w:sz w:val="20"/>
          <w:szCs w:val="20"/>
        </w:rPr>
      </w:pPr>
      <w:r w:rsidRPr="003157E4">
        <w:rPr>
          <w:rFonts w:ascii="Arial" w:hAnsi="Arial" w:cs="Arial"/>
          <w:b/>
          <w:sz w:val="20"/>
          <w:szCs w:val="20"/>
        </w:rPr>
        <w:t xml:space="preserve">Results Framework </w:t>
      </w:r>
      <w:r w:rsidR="00E10F5E" w:rsidRPr="003157E4">
        <w:rPr>
          <w:rFonts w:ascii="Arial" w:hAnsi="Arial" w:cs="Arial"/>
          <w:b/>
          <w:sz w:val="20"/>
          <w:szCs w:val="20"/>
        </w:rPr>
        <w:t>Operational Indicators</w:t>
      </w:r>
      <w:r w:rsidR="005B377A">
        <w:rPr>
          <w:rFonts w:ascii="Arial" w:hAnsi="Arial" w:cs="Arial"/>
          <w:b/>
          <w:sz w:val="20"/>
          <w:szCs w:val="20"/>
        </w:rPr>
        <w:t xml:space="preserve"> Retroactive</w:t>
      </w:r>
      <w:r w:rsidR="00E10F5E" w:rsidRPr="003157E4">
        <w:rPr>
          <w:rFonts w:ascii="Arial" w:hAnsi="Arial" w:cs="Arial"/>
          <w:b/>
          <w:sz w:val="20"/>
          <w:szCs w:val="20"/>
        </w:rPr>
        <w:t xml:space="preserve"> </w:t>
      </w:r>
      <w:r w:rsidRPr="003157E4">
        <w:rPr>
          <w:rFonts w:ascii="Arial" w:hAnsi="Arial" w:cs="Arial"/>
          <w:b/>
          <w:sz w:val="20"/>
          <w:szCs w:val="20"/>
        </w:rPr>
        <w:t>Coding</w:t>
      </w:r>
      <w:r w:rsidR="005B377A">
        <w:rPr>
          <w:rFonts w:ascii="Arial" w:hAnsi="Arial" w:cs="Arial"/>
          <w:b/>
          <w:sz w:val="20"/>
          <w:szCs w:val="20"/>
        </w:rPr>
        <w:t xml:space="preserve"> Exercise</w:t>
      </w:r>
      <w:r w:rsidR="00816679" w:rsidRPr="003157E4">
        <w:rPr>
          <w:rFonts w:ascii="Arial" w:hAnsi="Arial" w:cs="Arial"/>
          <w:b/>
          <w:sz w:val="20"/>
          <w:szCs w:val="20"/>
        </w:rPr>
        <w:t xml:space="preserve">: </w:t>
      </w:r>
    </w:p>
    <w:p w14:paraId="016728FB" w14:textId="3D8F84A5" w:rsidR="00EE1A69" w:rsidRPr="003157E4" w:rsidRDefault="00E10F5E" w:rsidP="00816679">
      <w:pPr>
        <w:spacing w:after="0"/>
        <w:jc w:val="center"/>
        <w:rPr>
          <w:rFonts w:ascii="Arial" w:hAnsi="Arial" w:cs="Arial"/>
          <w:b/>
          <w:sz w:val="20"/>
          <w:szCs w:val="20"/>
        </w:rPr>
      </w:pPr>
      <w:r w:rsidRPr="003157E4">
        <w:rPr>
          <w:rFonts w:ascii="Arial" w:hAnsi="Arial" w:cs="Arial"/>
          <w:b/>
          <w:sz w:val="20"/>
          <w:szCs w:val="20"/>
        </w:rPr>
        <w:t>Finings and Process</w:t>
      </w:r>
      <w:r w:rsidR="00874AAB" w:rsidRPr="003157E4">
        <w:rPr>
          <w:rFonts w:ascii="Arial" w:hAnsi="Arial" w:cs="Arial"/>
          <w:b/>
          <w:sz w:val="20"/>
          <w:szCs w:val="20"/>
        </w:rPr>
        <w:t xml:space="preserve"> </w:t>
      </w:r>
      <w:r w:rsidR="00816679" w:rsidRPr="003157E4">
        <w:rPr>
          <w:rFonts w:ascii="Arial" w:hAnsi="Arial" w:cs="Arial"/>
          <w:b/>
          <w:sz w:val="20"/>
          <w:szCs w:val="20"/>
        </w:rPr>
        <w:t>Report</w:t>
      </w:r>
    </w:p>
    <w:p w14:paraId="45E086E2" w14:textId="55E2D8D9" w:rsidR="00E10F5E" w:rsidRPr="003157E4" w:rsidRDefault="00D6720A" w:rsidP="00816679">
      <w:pPr>
        <w:spacing w:after="0"/>
        <w:jc w:val="center"/>
        <w:rPr>
          <w:rFonts w:ascii="Arial" w:hAnsi="Arial" w:cs="Arial"/>
          <w:b/>
          <w:sz w:val="20"/>
          <w:szCs w:val="20"/>
        </w:rPr>
      </w:pPr>
      <w:r>
        <w:rPr>
          <w:rFonts w:ascii="Arial" w:hAnsi="Arial" w:cs="Arial"/>
          <w:b/>
          <w:sz w:val="20"/>
          <w:szCs w:val="20"/>
        </w:rPr>
        <w:t>2</w:t>
      </w:r>
      <w:r w:rsidR="003E6D49">
        <w:rPr>
          <w:rFonts w:ascii="Arial" w:hAnsi="Arial" w:cs="Arial"/>
          <w:b/>
          <w:sz w:val="20"/>
          <w:szCs w:val="20"/>
        </w:rPr>
        <w:t>5</w:t>
      </w:r>
      <w:r w:rsidR="00E10F5E" w:rsidRPr="003157E4">
        <w:rPr>
          <w:rFonts w:ascii="Arial" w:hAnsi="Arial" w:cs="Arial"/>
          <w:b/>
          <w:sz w:val="20"/>
          <w:szCs w:val="20"/>
        </w:rPr>
        <w:t xml:space="preserve"> </w:t>
      </w:r>
      <w:r>
        <w:rPr>
          <w:rFonts w:ascii="Arial" w:hAnsi="Arial" w:cs="Arial"/>
          <w:b/>
          <w:sz w:val="20"/>
          <w:szCs w:val="20"/>
        </w:rPr>
        <w:t>February</w:t>
      </w:r>
      <w:r w:rsidR="00E10F5E" w:rsidRPr="003157E4">
        <w:rPr>
          <w:rFonts w:ascii="Arial" w:hAnsi="Arial" w:cs="Arial"/>
          <w:b/>
          <w:sz w:val="20"/>
          <w:szCs w:val="20"/>
        </w:rPr>
        <w:t xml:space="preserve"> 2022</w:t>
      </w:r>
    </w:p>
    <w:p w14:paraId="28D53868" w14:textId="4158DD23" w:rsidR="00816679" w:rsidRPr="003157E4" w:rsidRDefault="00816679" w:rsidP="00816679">
      <w:pPr>
        <w:spacing w:after="0"/>
        <w:rPr>
          <w:rFonts w:ascii="Arial" w:hAnsi="Arial" w:cs="Arial"/>
          <w:b/>
          <w:sz w:val="20"/>
          <w:szCs w:val="20"/>
          <w:u w:val="single"/>
        </w:rPr>
      </w:pP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r w:rsidRPr="003157E4">
        <w:rPr>
          <w:rFonts w:ascii="Arial" w:hAnsi="Arial" w:cs="Arial"/>
          <w:b/>
          <w:sz w:val="20"/>
          <w:szCs w:val="20"/>
          <w:u w:val="single"/>
        </w:rPr>
        <w:tab/>
      </w:r>
    </w:p>
    <w:p w14:paraId="09285B57" w14:textId="6C44C0FD" w:rsidR="00816679" w:rsidRPr="003157E4" w:rsidRDefault="00816679" w:rsidP="00816679">
      <w:pPr>
        <w:spacing w:after="0"/>
        <w:rPr>
          <w:rFonts w:ascii="Arial" w:hAnsi="Arial" w:cs="Arial"/>
          <w:b/>
          <w:sz w:val="20"/>
          <w:szCs w:val="20"/>
          <w:u w:val="single"/>
        </w:rPr>
      </w:pPr>
    </w:p>
    <w:p w14:paraId="3221BBD7" w14:textId="7CE95E0D" w:rsidR="00140923" w:rsidRPr="00322FF7" w:rsidRDefault="0048691A" w:rsidP="00140923">
      <w:pPr>
        <w:pStyle w:val="ListParagraph"/>
        <w:numPr>
          <w:ilvl w:val="3"/>
          <w:numId w:val="1"/>
        </w:numPr>
        <w:spacing w:after="0"/>
        <w:ind w:left="927"/>
        <w:rPr>
          <w:rFonts w:ascii="Arial" w:hAnsi="Arial" w:cs="Arial"/>
          <w:b/>
          <w:bCs/>
          <w:sz w:val="20"/>
          <w:szCs w:val="20"/>
        </w:rPr>
      </w:pPr>
      <w:r w:rsidRPr="00322FF7">
        <w:rPr>
          <w:rFonts w:ascii="Arial" w:hAnsi="Arial" w:cs="Arial"/>
          <w:b/>
          <w:bCs/>
          <w:sz w:val="20"/>
          <w:szCs w:val="20"/>
        </w:rPr>
        <w:t>Introduction</w:t>
      </w:r>
      <w:r w:rsidR="00874AAB" w:rsidRPr="00322FF7">
        <w:rPr>
          <w:rFonts w:ascii="Arial" w:hAnsi="Arial" w:cs="Arial"/>
          <w:b/>
          <w:bCs/>
          <w:sz w:val="20"/>
          <w:szCs w:val="20"/>
        </w:rPr>
        <w:t xml:space="preserve"> </w:t>
      </w:r>
    </w:p>
    <w:p w14:paraId="25563638" w14:textId="77777777" w:rsidR="003A28E0" w:rsidRDefault="003A28E0" w:rsidP="00625183">
      <w:pPr>
        <w:spacing w:after="0"/>
        <w:rPr>
          <w:rFonts w:ascii="Arial" w:hAnsi="Arial" w:cs="Arial"/>
          <w:sz w:val="20"/>
          <w:szCs w:val="20"/>
        </w:rPr>
      </w:pPr>
    </w:p>
    <w:p w14:paraId="31EBED8D" w14:textId="1568812F" w:rsidR="003A28E0" w:rsidRDefault="00AB4245" w:rsidP="00553964">
      <w:pPr>
        <w:pStyle w:val="CommentText"/>
        <w:rPr>
          <w:rFonts w:ascii="Arial" w:hAnsi="Arial" w:cs="Arial"/>
        </w:rPr>
      </w:pPr>
      <w:r w:rsidRPr="00AB4245">
        <w:rPr>
          <w:rFonts w:ascii="Arial" w:hAnsi="Arial" w:cs="Arial"/>
        </w:rPr>
        <w:t xml:space="preserve">The GPSA has developed and continues to test and iterate a </w:t>
      </w:r>
      <w:r w:rsidR="00FA5D7E" w:rsidRPr="00AB4245">
        <w:rPr>
          <w:rFonts w:ascii="Arial" w:hAnsi="Arial" w:cs="Arial"/>
        </w:rPr>
        <w:t>Re</w:t>
      </w:r>
      <w:r w:rsidR="00FA5D7E">
        <w:rPr>
          <w:rFonts w:ascii="Arial" w:hAnsi="Arial" w:cs="Arial"/>
        </w:rPr>
        <w:t>s</w:t>
      </w:r>
      <w:r w:rsidR="00FA5D7E" w:rsidRPr="00AB4245">
        <w:rPr>
          <w:rFonts w:ascii="Arial" w:hAnsi="Arial" w:cs="Arial"/>
        </w:rPr>
        <w:t>ults</w:t>
      </w:r>
      <w:r w:rsidRPr="00AB4245">
        <w:rPr>
          <w:rFonts w:ascii="Arial" w:hAnsi="Arial" w:cs="Arial"/>
        </w:rPr>
        <w:t xml:space="preserve"> Framework </w:t>
      </w:r>
      <w:r>
        <w:rPr>
          <w:rFonts w:ascii="Arial" w:hAnsi="Arial" w:cs="Arial"/>
        </w:rPr>
        <w:t xml:space="preserve">for the program </w:t>
      </w:r>
      <w:r w:rsidRPr="00AB4245">
        <w:rPr>
          <w:rFonts w:ascii="Arial" w:hAnsi="Arial" w:cs="Arial"/>
        </w:rPr>
        <w:t xml:space="preserve">with a set of </w:t>
      </w:r>
      <w:r w:rsidR="00F96282" w:rsidRPr="00AB4245">
        <w:rPr>
          <w:rFonts w:ascii="Arial" w:hAnsi="Arial" w:cs="Arial"/>
        </w:rPr>
        <w:t xml:space="preserve">targeted </w:t>
      </w:r>
      <w:r w:rsidR="00F96282" w:rsidRPr="00AB4245">
        <w:t>outcomes</w:t>
      </w:r>
      <w:r w:rsidRPr="00AB4245">
        <w:rPr>
          <w:rFonts w:ascii="Arial" w:hAnsi="Arial" w:cs="Arial"/>
        </w:rPr>
        <w:t xml:space="preserve"> and outputs</w:t>
      </w:r>
      <w:r>
        <w:rPr>
          <w:rFonts w:ascii="Arial" w:hAnsi="Arial" w:cs="Arial"/>
        </w:rPr>
        <w:t xml:space="preserve">. This includes a set of both grant partner and World Bank </w:t>
      </w:r>
      <w:r w:rsidRPr="00AB4245">
        <w:rPr>
          <w:rFonts w:ascii="Arial" w:hAnsi="Arial" w:cs="Arial"/>
        </w:rPr>
        <w:t xml:space="preserve">indicators linked to the most recent version of the GPSA Theory of Action. In late 2020, a consultant was hired to support the methodology and operationalization of Monitoring, Evaluation, Reporting and Learning </w:t>
      </w:r>
      <w:r>
        <w:rPr>
          <w:rFonts w:ascii="Arial" w:hAnsi="Arial" w:cs="Arial"/>
        </w:rPr>
        <w:t xml:space="preserve">(MERL). A comprehensive MERL guide has been developed (in process of finalization at the time of this report) with specific methodology and guidance for assessing each of the relevant indicators </w:t>
      </w:r>
      <w:r w:rsidR="00553964">
        <w:rPr>
          <w:rFonts w:ascii="Arial" w:hAnsi="Arial" w:cs="Arial"/>
        </w:rPr>
        <w:t xml:space="preserve">to be monitored and evaluated for all </w:t>
      </w:r>
      <w:r>
        <w:rPr>
          <w:rFonts w:ascii="Arial" w:hAnsi="Arial" w:cs="Arial"/>
        </w:rPr>
        <w:t>grant partner projects under the GPSA</w:t>
      </w:r>
      <w:r w:rsidR="00553964">
        <w:rPr>
          <w:rFonts w:ascii="Arial" w:hAnsi="Arial" w:cs="Arial"/>
        </w:rPr>
        <w:t xml:space="preserve">. </w:t>
      </w:r>
      <w:r w:rsidR="005B377A">
        <w:rPr>
          <w:rFonts w:ascii="Arial" w:hAnsi="Arial" w:cs="Arial"/>
        </w:rPr>
        <w:t xml:space="preserve">These are referred to as ‘operational indicators’ and are the focus of this exercise. </w:t>
      </w:r>
    </w:p>
    <w:p w14:paraId="2442752B" w14:textId="2495C6B1" w:rsidR="00625183" w:rsidRDefault="00625183" w:rsidP="00625183">
      <w:pPr>
        <w:spacing w:after="0"/>
        <w:ind w:left="567"/>
        <w:rPr>
          <w:rFonts w:ascii="Arial" w:hAnsi="Arial" w:cs="Arial"/>
          <w:sz w:val="20"/>
          <w:szCs w:val="20"/>
        </w:rPr>
      </w:pPr>
    </w:p>
    <w:p w14:paraId="61C344FE" w14:textId="77777777" w:rsidR="00A43995" w:rsidRDefault="00625183" w:rsidP="00C1597B">
      <w:pPr>
        <w:keepNext/>
        <w:spacing w:after="0"/>
        <w:ind w:left="567"/>
      </w:pPr>
      <w:r>
        <w:rPr>
          <w:noProof/>
        </w:rPr>
        <w:drawing>
          <wp:inline distT="0" distB="0" distL="0" distR="0" wp14:anchorId="49EE0CFA" wp14:editId="7B3CC8A2">
            <wp:extent cx="5414959" cy="1589198"/>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a:stretch>
                      <a:fillRect/>
                    </a:stretch>
                  </pic:blipFill>
                  <pic:spPr>
                    <a:xfrm>
                      <a:off x="0" y="0"/>
                      <a:ext cx="5441288" cy="1596925"/>
                    </a:xfrm>
                    <a:prstGeom prst="rect">
                      <a:avLst/>
                    </a:prstGeom>
                  </pic:spPr>
                </pic:pic>
              </a:graphicData>
            </a:graphic>
          </wp:inline>
        </w:drawing>
      </w:r>
    </w:p>
    <w:p w14:paraId="20F44680" w14:textId="7C1143FE" w:rsidR="00625183" w:rsidRPr="00625183" w:rsidRDefault="00A43995" w:rsidP="00A43995">
      <w:pPr>
        <w:pStyle w:val="Caption"/>
        <w:ind w:firstLine="567"/>
        <w:rPr>
          <w:rFonts w:ascii="Arial" w:hAnsi="Arial" w:cs="Arial"/>
          <w:sz w:val="20"/>
          <w:szCs w:val="20"/>
        </w:rPr>
      </w:pPr>
      <w:r>
        <w:t xml:space="preserve">Figure </w:t>
      </w:r>
      <w:fldSimple w:instr=" SEQ Figure \* ARABIC ">
        <w:r>
          <w:rPr>
            <w:noProof/>
          </w:rPr>
          <w:t>1</w:t>
        </w:r>
      </w:fldSimple>
      <w:r>
        <w:t>: Timeline of the GPSA MERL process</w:t>
      </w:r>
    </w:p>
    <w:p w14:paraId="1EFB7A3B" w14:textId="6B1A801E" w:rsidR="00625183" w:rsidRDefault="00625183" w:rsidP="00AB4245">
      <w:pPr>
        <w:rPr>
          <w:rFonts w:ascii="Arial" w:hAnsi="Arial" w:cs="Arial"/>
          <w:sz w:val="20"/>
          <w:szCs w:val="20"/>
        </w:rPr>
      </w:pPr>
    </w:p>
    <w:p w14:paraId="10BC0C59" w14:textId="61D4BF75" w:rsidR="003E6D49" w:rsidRDefault="00553964" w:rsidP="00553964">
      <w:pPr>
        <w:pStyle w:val="CommentText"/>
        <w:rPr>
          <w:rFonts w:ascii="Arial" w:hAnsi="Arial" w:cs="Arial"/>
        </w:rPr>
      </w:pPr>
      <w:r>
        <w:rPr>
          <w:rFonts w:ascii="Arial" w:hAnsi="Arial" w:cs="Arial"/>
        </w:rPr>
        <w:t>In 2021-2022, the GPSA also embarked on a Strategic Review Process</w:t>
      </w:r>
      <w:r w:rsidR="00B75A9B">
        <w:rPr>
          <w:rFonts w:ascii="Arial" w:hAnsi="Arial" w:cs="Arial"/>
        </w:rPr>
        <w:t xml:space="preserve"> (SRP)</w:t>
      </w:r>
      <w:r>
        <w:rPr>
          <w:rFonts w:ascii="Arial" w:hAnsi="Arial" w:cs="Arial"/>
        </w:rPr>
        <w:t xml:space="preserve"> and Forward Look </w:t>
      </w:r>
      <w:r w:rsidRPr="00AB4245">
        <w:rPr>
          <w:rFonts w:ascii="Arial" w:hAnsi="Arial" w:cs="Arial"/>
        </w:rPr>
        <w:t xml:space="preserve">to </w:t>
      </w:r>
      <w:r>
        <w:rPr>
          <w:rFonts w:ascii="Arial" w:hAnsi="Arial" w:cs="Arial"/>
        </w:rPr>
        <w:t xml:space="preserve">better understand its progress and performance against the Theory of Action and the Results Framework, amongst other elements. As a part of this exercise, the GPSA decided to retroactively assess </w:t>
      </w:r>
      <w:r w:rsidR="003E6D49">
        <w:rPr>
          <w:rFonts w:ascii="Arial" w:hAnsi="Arial" w:cs="Arial"/>
        </w:rPr>
        <w:t xml:space="preserve">a sample of </w:t>
      </w:r>
      <w:r>
        <w:rPr>
          <w:rFonts w:ascii="Arial" w:hAnsi="Arial" w:cs="Arial"/>
        </w:rPr>
        <w:t>projects to date under the GPSA since the first call for proposals in 2013</w:t>
      </w:r>
      <w:r w:rsidR="003E6D49">
        <w:rPr>
          <w:rFonts w:ascii="Arial" w:hAnsi="Arial" w:cs="Arial"/>
        </w:rPr>
        <w:t xml:space="preserve"> </w:t>
      </w:r>
      <w:r>
        <w:rPr>
          <w:rFonts w:ascii="Arial" w:hAnsi="Arial" w:cs="Arial"/>
        </w:rPr>
        <w:t xml:space="preserve">using the updated Results </w:t>
      </w:r>
      <w:r w:rsidR="002F74B4">
        <w:rPr>
          <w:rFonts w:ascii="Arial" w:hAnsi="Arial" w:cs="Arial"/>
        </w:rPr>
        <w:t>Framework</w:t>
      </w:r>
      <w:r>
        <w:rPr>
          <w:rFonts w:ascii="Arial" w:hAnsi="Arial" w:cs="Arial"/>
        </w:rPr>
        <w:t xml:space="preserve"> and MERL guide methodology. </w:t>
      </w:r>
    </w:p>
    <w:p w14:paraId="096426A5" w14:textId="39C1E869" w:rsidR="003E6D49" w:rsidRDefault="00553964" w:rsidP="00B75A9B">
      <w:pPr>
        <w:pStyle w:val="CommentText"/>
        <w:rPr>
          <w:rFonts w:ascii="Arial" w:hAnsi="Arial" w:cs="Arial"/>
        </w:rPr>
      </w:pPr>
      <w:r>
        <w:rPr>
          <w:rFonts w:ascii="Arial" w:hAnsi="Arial" w:cs="Arial"/>
        </w:rPr>
        <w:t xml:space="preserve">This report provides </w:t>
      </w:r>
      <w:r w:rsidR="00B75A9B">
        <w:rPr>
          <w:rFonts w:ascii="Arial" w:hAnsi="Arial" w:cs="Arial"/>
        </w:rPr>
        <w:t xml:space="preserve">an overview of </w:t>
      </w:r>
      <w:r>
        <w:rPr>
          <w:rFonts w:ascii="Arial" w:hAnsi="Arial" w:cs="Arial"/>
        </w:rPr>
        <w:t xml:space="preserve">the process and findings of this retroactive coding exercise. </w:t>
      </w:r>
      <w:r w:rsidR="00B75A9B">
        <w:rPr>
          <w:rFonts w:ascii="Arial" w:hAnsi="Arial" w:cs="Arial"/>
        </w:rPr>
        <w:t xml:space="preserve">It is intended to inform part </w:t>
      </w:r>
      <w:r w:rsidR="003E6D49">
        <w:rPr>
          <w:rFonts w:ascii="Arial" w:hAnsi="Arial" w:cs="Arial"/>
        </w:rPr>
        <w:t>of the</w:t>
      </w:r>
      <w:r w:rsidR="00B75A9B">
        <w:rPr>
          <w:rFonts w:ascii="Arial" w:hAnsi="Arial" w:cs="Arial"/>
        </w:rPr>
        <w:t xml:space="preserve"> SRP/Forward Look and support the GPSA in its overall assessment and </w:t>
      </w:r>
      <w:r w:rsidR="00772B25">
        <w:rPr>
          <w:rFonts w:ascii="Arial" w:hAnsi="Arial" w:cs="Arial"/>
        </w:rPr>
        <w:t>decision-making</w:t>
      </w:r>
      <w:r w:rsidR="00B75A9B">
        <w:rPr>
          <w:rFonts w:ascii="Arial" w:hAnsi="Arial" w:cs="Arial"/>
        </w:rPr>
        <w:t xml:space="preserve"> process. It also provides an important institutional memory for others who may need to reference and understand how the process for the retroactive coding took place as well as observations on the dataset and exercise overall. </w:t>
      </w:r>
    </w:p>
    <w:p w14:paraId="05C5731D" w14:textId="4B0C0BCC" w:rsidR="0087610E" w:rsidRDefault="00B75A9B" w:rsidP="00B75A9B">
      <w:pPr>
        <w:pStyle w:val="CommentText"/>
        <w:rPr>
          <w:rFonts w:ascii="Arial" w:hAnsi="Arial" w:cs="Arial"/>
        </w:rPr>
      </w:pPr>
      <w:r>
        <w:rPr>
          <w:rFonts w:ascii="Arial" w:hAnsi="Arial" w:cs="Arial"/>
        </w:rPr>
        <w:t>It is important to note that there is a</w:t>
      </w:r>
      <w:r w:rsidR="003E6D49">
        <w:rPr>
          <w:rFonts w:ascii="Arial" w:hAnsi="Arial" w:cs="Arial"/>
        </w:rPr>
        <w:t>n accompanying reference</w:t>
      </w:r>
      <w:r>
        <w:rPr>
          <w:rFonts w:ascii="Arial" w:hAnsi="Arial" w:cs="Arial"/>
        </w:rPr>
        <w:t xml:space="preserve"> document </w:t>
      </w:r>
      <w:r w:rsidR="003E6D49">
        <w:rPr>
          <w:rFonts w:ascii="Arial" w:hAnsi="Arial" w:cs="Arial"/>
        </w:rPr>
        <w:t xml:space="preserve">(in excel) </w:t>
      </w:r>
      <w:r>
        <w:rPr>
          <w:rFonts w:ascii="Arial" w:hAnsi="Arial" w:cs="Arial"/>
        </w:rPr>
        <w:t xml:space="preserve">with the full set of sample coded projects as well as the aggregate values that contains more explanation, source evidence and important qualitative details about the findings </w:t>
      </w:r>
      <w:r w:rsidR="003E6D49">
        <w:rPr>
          <w:rFonts w:ascii="Arial" w:hAnsi="Arial" w:cs="Arial"/>
        </w:rPr>
        <w:t xml:space="preserve">and limitations </w:t>
      </w:r>
      <w:r>
        <w:rPr>
          <w:rFonts w:ascii="Arial" w:hAnsi="Arial" w:cs="Arial"/>
        </w:rPr>
        <w:t>for each project</w:t>
      </w:r>
      <w:r w:rsidR="003E6D49">
        <w:rPr>
          <w:rFonts w:ascii="Arial" w:hAnsi="Arial" w:cs="Arial"/>
        </w:rPr>
        <w:t xml:space="preserve"> in the sample</w:t>
      </w:r>
      <w:r>
        <w:rPr>
          <w:rFonts w:ascii="Arial" w:hAnsi="Arial" w:cs="Arial"/>
        </w:rPr>
        <w:t>.</w:t>
      </w:r>
      <w:r w:rsidR="00CA156C">
        <w:rPr>
          <w:rFonts w:ascii="Arial" w:hAnsi="Arial" w:cs="Arial"/>
        </w:rPr>
        <w:t xml:space="preserve"> It should also be </w:t>
      </w:r>
      <w:r w:rsidR="004C6101">
        <w:rPr>
          <w:rFonts w:ascii="Arial" w:hAnsi="Arial" w:cs="Arial"/>
        </w:rPr>
        <w:t>understood</w:t>
      </w:r>
      <w:r w:rsidR="00CA156C">
        <w:rPr>
          <w:rFonts w:ascii="Arial" w:hAnsi="Arial" w:cs="Arial"/>
        </w:rPr>
        <w:t xml:space="preserve"> the wider context of the </w:t>
      </w:r>
      <w:r w:rsidR="003E6D49">
        <w:rPr>
          <w:rFonts w:ascii="Arial" w:hAnsi="Arial" w:cs="Arial"/>
        </w:rPr>
        <w:t xml:space="preserve">GPSA Theory of Action and the </w:t>
      </w:r>
      <w:r w:rsidR="00CA156C">
        <w:rPr>
          <w:rFonts w:ascii="Arial" w:hAnsi="Arial" w:cs="Arial"/>
        </w:rPr>
        <w:t xml:space="preserve">MERL Guide document </w:t>
      </w:r>
      <w:r w:rsidR="004C6101">
        <w:rPr>
          <w:rFonts w:ascii="Arial" w:hAnsi="Arial" w:cs="Arial"/>
        </w:rPr>
        <w:t>which is the key</w:t>
      </w:r>
      <w:r w:rsidR="00CA156C">
        <w:rPr>
          <w:rFonts w:ascii="Arial" w:hAnsi="Arial" w:cs="Arial"/>
        </w:rPr>
        <w:t xml:space="preserve"> detailed reference document for how and why the Results Framework indicators should be </w:t>
      </w:r>
      <w:r w:rsidR="004C6101">
        <w:rPr>
          <w:rFonts w:ascii="Arial" w:hAnsi="Arial" w:cs="Arial"/>
        </w:rPr>
        <w:t xml:space="preserve">understood, </w:t>
      </w:r>
      <w:r w:rsidR="00CA156C">
        <w:rPr>
          <w:rFonts w:ascii="Arial" w:hAnsi="Arial" w:cs="Arial"/>
        </w:rPr>
        <w:t xml:space="preserve">designed, assessment, monitored, </w:t>
      </w:r>
      <w:proofErr w:type="gramStart"/>
      <w:r w:rsidR="00CA156C">
        <w:rPr>
          <w:rFonts w:ascii="Arial" w:hAnsi="Arial" w:cs="Arial"/>
        </w:rPr>
        <w:t>reported</w:t>
      </w:r>
      <w:proofErr w:type="gramEnd"/>
      <w:r w:rsidR="00CA156C">
        <w:rPr>
          <w:rFonts w:ascii="Arial" w:hAnsi="Arial" w:cs="Arial"/>
        </w:rPr>
        <w:t xml:space="preserve"> and evaluated</w:t>
      </w:r>
      <w:r w:rsidR="004C6101">
        <w:rPr>
          <w:rFonts w:ascii="Arial" w:hAnsi="Arial" w:cs="Arial"/>
        </w:rPr>
        <w:t xml:space="preserve"> for all GPSA projects.</w:t>
      </w:r>
    </w:p>
    <w:p w14:paraId="4F954E27" w14:textId="72F68C3B" w:rsidR="0087610E" w:rsidRPr="0087610E" w:rsidRDefault="003E6D49" w:rsidP="00B75A9B">
      <w:pPr>
        <w:pStyle w:val="CommentText"/>
        <w:rPr>
          <w:rFonts w:ascii="Arial" w:hAnsi="Arial" w:cs="Arial"/>
        </w:rPr>
      </w:pPr>
      <w:r>
        <w:rPr>
          <w:rFonts w:ascii="Arial" w:hAnsi="Arial" w:cs="Arial"/>
        </w:rPr>
        <w:t xml:space="preserve">The exercise demonstrated </w:t>
      </w:r>
      <w:r w:rsidR="00A76869">
        <w:rPr>
          <w:rFonts w:ascii="Arial" w:hAnsi="Arial" w:cs="Arial"/>
        </w:rPr>
        <w:t>how the</w:t>
      </w:r>
      <w:r>
        <w:rPr>
          <w:rFonts w:ascii="Arial" w:hAnsi="Arial" w:cs="Arial"/>
        </w:rPr>
        <w:t xml:space="preserve"> Theory of Change and Results Framework </w:t>
      </w:r>
      <w:r w:rsidR="00A76869">
        <w:rPr>
          <w:rFonts w:ascii="Arial" w:hAnsi="Arial" w:cs="Arial"/>
        </w:rPr>
        <w:t xml:space="preserve">can be evidenced </w:t>
      </w:r>
      <w:r>
        <w:rPr>
          <w:rFonts w:ascii="Arial" w:hAnsi="Arial" w:cs="Arial"/>
        </w:rPr>
        <w:t xml:space="preserve">in practice, </w:t>
      </w:r>
      <w:r w:rsidR="00A76869">
        <w:rPr>
          <w:rFonts w:ascii="Arial" w:hAnsi="Arial" w:cs="Arial"/>
        </w:rPr>
        <w:t>indicating</w:t>
      </w:r>
      <w:r>
        <w:rPr>
          <w:rFonts w:ascii="Arial" w:hAnsi="Arial" w:cs="Arial"/>
        </w:rPr>
        <w:t xml:space="preserve"> that a) GPSA projects can be assessed against the Theory of Action and Results Framework</w:t>
      </w:r>
      <w:r w:rsidR="00A76869">
        <w:rPr>
          <w:rFonts w:ascii="Arial" w:hAnsi="Arial" w:cs="Arial"/>
        </w:rPr>
        <w:t xml:space="preserve"> through the methods outline in the MERL Guide</w:t>
      </w:r>
      <w:r>
        <w:rPr>
          <w:rFonts w:ascii="Arial" w:hAnsi="Arial" w:cs="Arial"/>
        </w:rPr>
        <w:t xml:space="preserve">, using even secondary data (with limitations) and a) the results of the coding projects </w:t>
      </w:r>
      <w:r w:rsidR="00A76869">
        <w:rPr>
          <w:rFonts w:ascii="Arial" w:hAnsi="Arial" w:cs="Arial"/>
        </w:rPr>
        <w:t>show the GPSA projects are</w:t>
      </w:r>
      <w:r>
        <w:rPr>
          <w:rFonts w:ascii="Arial" w:hAnsi="Arial" w:cs="Arial"/>
        </w:rPr>
        <w:t xml:space="preserve"> realizing results in line with the trajectory of the GPSA Theory of Action and the intended outcomes of the Results Framework. More </w:t>
      </w:r>
      <w:r>
        <w:rPr>
          <w:rFonts w:ascii="Arial" w:hAnsi="Arial" w:cs="Arial"/>
        </w:rPr>
        <w:lastRenderedPageBreak/>
        <w:t xml:space="preserve">consistent use of the methods and standardization </w:t>
      </w:r>
      <w:r w:rsidR="00A76869">
        <w:rPr>
          <w:rFonts w:ascii="Arial" w:hAnsi="Arial" w:cs="Arial"/>
        </w:rPr>
        <w:t>of project and portfolio level assessment</w:t>
      </w:r>
      <w:r>
        <w:rPr>
          <w:rFonts w:ascii="Arial" w:hAnsi="Arial" w:cs="Arial"/>
        </w:rPr>
        <w:t xml:space="preserve"> process over time will be needed to build on this preliminary evidence</w:t>
      </w:r>
      <w:r w:rsidR="00A76869">
        <w:rPr>
          <w:rFonts w:ascii="Arial" w:hAnsi="Arial" w:cs="Arial"/>
        </w:rPr>
        <w:t xml:space="preserve">. </w:t>
      </w:r>
      <w:r w:rsidR="00FA5D7E">
        <w:rPr>
          <w:rFonts w:ascii="Arial" w:hAnsi="Arial" w:cs="Arial"/>
        </w:rPr>
        <w:t>However,</w:t>
      </w:r>
      <w:r>
        <w:rPr>
          <w:rFonts w:ascii="Arial" w:hAnsi="Arial" w:cs="Arial"/>
        </w:rPr>
        <w:t xml:space="preserve"> as a first exercise, it </w:t>
      </w:r>
      <w:r w:rsidR="00A76869">
        <w:rPr>
          <w:rFonts w:ascii="Arial" w:hAnsi="Arial" w:cs="Arial"/>
        </w:rPr>
        <w:t xml:space="preserve">reflects the </w:t>
      </w:r>
      <w:r>
        <w:rPr>
          <w:rFonts w:ascii="Arial" w:hAnsi="Arial" w:cs="Arial"/>
        </w:rPr>
        <w:t xml:space="preserve">promising potential for the GPSA in terms of evidencing the strategic </w:t>
      </w:r>
      <w:r w:rsidR="00A76869">
        <w:rPr>
          <w:rFonts w:ascii="Arial" w:hAnsi="Arial" w:cs="Arial"/>
        </w:rPr>
        <w:t>and practical value of GPSA’s investment in small-scale civil society-led collaborative social accountability grants to target proximate causes of service delivery failure and jointly problem solve with public sector and community counterparts in a diverse range of public sectors and countries.</w:t>
      </w:r>
    </w:p>
    <w:p w14:paraId="7BA1D48E" w14:textId="52C57A15" w:rsidR="00816679" w:rsidRPr="006260DB" w:rsidRDefault="00874AAB" w:rsidP="00322FF7">
      <w:pPr>
        <w:pStyle w:val="ListParagraph"/>
        <w:numPr>
          <w:ilvl w:val="3"/>
          <w:numId w:val="1"/>
        </w:numPr>
        <w:spacing w:after="0"/>
        <w:ind w:left="1097"/>
        <w:rPr>
          <w:rFonts w:ascii="Arial" w:hAnsi="Arial" w:cs="Arial"/>
          <w:b/>
          <w:bCs/>
          <w:sz w:val="20"/>
          <w:szCs w:val="20"/>
        </w:rPr>
      </w:pPr>
      <w:r w:rsidRPr="006260DB">
        <w:rPr>
          <w:rFonts w:ascii="Arial" w:hAnsi="Arial" w:cs="Arial"/>
          <w:b/>
          <w:bCs/>
          <w:sz w:val="20"/>
          <w:szCs w:val="20"/>
        </w:rPr>
        <w:t xml:space="preserve">Process </w:t>
      </w:r>
      <w:r w:rsidR="002036CC" w:rsidRPr="006260DB">
        <w:rPr>
          <w:rFonts w:ascii="Arial" w:hAnsi="Arial" w:cs="Arial"/>
          <w:b/>
          <w:bCs/>
          <w:sz w:val="20"/>
          <w:szCs w:val="20"/>
        </w:rPr>
        <w:t>O</w:t>
      </w:r>
      <w:r w:rsidR="0087610E" w:rsidRPr="006260DB">
        <w:rPr>
          <w:rFonts w:ascii="Arial" w:hAnsi="Arial" w:cs="Arial"/>
          <w:b/>
          <w:bCs/>
          <w:sz w:val="20"/>
          <w:szCs w:val="20"/>
        </w:rPr>
        <w:t>ve</w:t>
      </w:r>
      <w:r w:rsidR="002036CC" w:rsidRPr="006260DB">
        <w:rPr>
          <w:rFonts w:ascii="Arial" w:hAnsi="Arial" w:cs="Arial"/>
          <w:b/>
          <w:bCs/>
          <w:sz w:val="20"/>
          <w:szCs w:val="20"/>
        </w:rPr>
        <w:t>rview</w:t>
      </w:r>
    </w:p>
    <w:p w14:paraId="76F6F660" w14:textId="31B7BFD3" w:rsidR="00874AAB" w:rsidRDefault="00874AAB" w:rsidP="00874AAB">
      <w:pPr>
        <w:spacing w:after="0"/>
        <w:rPr>
          <w:rFonts w:ascii="Arial" w:hAnsi="Arial" w:cs="Arial"/>
          <w:sz w:val="20"/>
          <w:szCs w:val="20"/>
        </w:rPr>
      </w:pPr>
    </w:p>
    <w:p w14:paraId="269EC82D" w14:textId="7304A5B4" w:rsidR="003A28E0" w:rsidRPr="002036CC" w:rsidRDefault="002036CC" w:rsidP="003A28E0">
      <w:pPr>
        <w:spacing w:after="0"/>
        <w:rPr>
          <w:rFonts w:ascii="Arial" w:hAnsi="Arial" w:cs="Arial"/>
          <w:sz w:val="20"/>
          <w:szCs w:val="20"/>
        </w:rPr>
      </w:pPr>
      <w:r>
        <w:rPr>
          <w:rFonts w:ascii="Arial" w:hAnsi="Arial" w:cs="Arial"/>
          <w:sz w:val="20"/>
          <w:szCs w:val="20"/>
        </w:rPr>
        <w:t xml:space="preserve">This section provides an overview of the process of how the exercise was designed and executed including the objectives, scope, sample selection, methodology and limitations. </w:t>
      </w:r>
    </w:p>
    <w:p w14:paraId="6AE048EF" w14:textId="77777777" w:rsidR="003A28E0" w:rsidRPr="003A28E0" w:rsidRDefault="003A28E0" w:rsidP="003A28E0">
      <w:pPr>
        <w:spacing w:after="0"/>
        <w:rPr>
          <w:rFonts w:ascii="Arial" w:hAnsi="Arial" w:cs="Arial"/>
          <w:sz w:val="20"/>
          <w:szCs w:val="20"/>
        </w:rPr>
      </w:pPr>
    </w:p>
    <w:p w14:paraId="34722A89" w14:textId="1EF2E397" w:rsidR="003A28E0" w:rsidRPr="00F60DEB" w:rsidRDefault="006260DB" w:rsidP="002036CC">
      <w:pPr>
        <w:rPr>
          <w:rFonts w:ascii="Arial" w:hAnsi="Arial" w:cs="Arial"/>
          <w:b/>
          <w:bCs/>
          <w:sz w:val="20"/>
          <w:szCs w:val="20"/>
        </w:rPr>
      </w:pPr>
      <w:r>
        <w:rPr>
          <w:rFonts w:ascii="Arial" w:hAnsi="Arial" w:cs="Arial"/>
          <w:b/>
          <w:bCs/>
          <w:sz w:val="20"/>
          <w:szCs w:val="20"/>
        </w:rPr>
        <w:t xml:space="preserve">2.1 </w:t>
      </w:r>
      <w:r w:rsidR="003A28E0" w:rsidRPr="00F60DEB">
        <w:rPr>
          <w:rFonts w:ascii="Arial" w:hAnsi="Arial" w:cs="Arial"/>
          <w:b/>
          <w:bCs/>
          <w:sz w:val="20"/>
          <w:szCs w:val="20"/>
        </w:rPr>
        <w:t>Objectives</w:t>
      </w:r>
    </w:p>
    <w:p w14:paraId="1AD6887D" w14:textId="38262B48" w:rsidR="00625183" w:rsidRPr="00625183" w:rsidRDefault="00625183" w:rsidP="00C13E11">
      <w:pPr>
        <w:pStyle w:val="ListParagraph"/>
        <w:numPr>
          <w:ilvl w:val="1"/>
          <w:numId w:val="10"/>
        </w:numPr>
        <w:ind w:left="700"/>
        <w:rPr>
          <w:rFonts w:ascii="Arial" w:hAnsi="Arial" w:cs="Arial"/>
          <w:sz w:val="20"/>
          <w:szCs w:val="20"/>
          <w:lang w:val="en-CA"/>
        </w:rPr>
      </w:pPr>
      <w:r w:rsidRPr="00625183">
        <w:rPr>
          <w:rFonts w:ascii="Arial" w:hAnsi="Arial" w:cs="Arial"/>
          <w:sz w:val="20"/>
          <w:szCs w:val="20"/>
          <w:lang w:val="en-CA"/>
        </w:rPr>
        <w:t xml:space="preserve">To support the </w:t>
      </w:r>
      <w:r w:rsidR="002036CC">
        <w:rPr>
          <w:rFonts w:ascii="Arial" w:hAnsi="Arial" w:cs="Arial"/>
          <w:sz w:val="20"/>
          <w:szCs w:val="20"/>
          <w:lang w:val="en-CA"/>
        </w:rPr>
        <w:t xml:space="preserve">SRP/Forward </w:t>
      </w:r>
      <w:r w:rsidR="002F74B4">
        <w:rPr>
          <w:rFonts w:ascii="Arial" w:hAnsi="Arial" w:cs="Arial"/>
          <w:sz w:val="20"/>
          <w:szCs w:val="20"/>
          <w:lang w:val="en-CA"/>
        </w:rPr>
        <w:t>Look</w:t>
      </w:r>
      <w:r w:rsidRPr="00625183">
        <w:rPr>
          <w:rFonts w:ascii="Arial" w:hAnsi="Arial" w:cs="Arial"/>
          <w:sz w:val="20"/>
          <w:szCs w:val="20"/>
          <w:lang w:val="en-CA"/>
        </w:rPr>
        <w:t xml:space="preserve"> by coding and aggregating data from a sample of GPSA projects against the updated GPSA R</w:t>
      </w:r>
      <w:r w:rsidR="002036CC">
        <w:rPr>
          <w:rFonts w:ascii="Arial" w:hAnsi="Arial" w:cs="Arial"/>
          <w:sz w:val="20"/>
          <w:szCs w:val="20"/>
          <w:lang w:val="en-CA"/>
        </w:rPr>
        <w:t>esults Framework’s operational indicators.</w:t>
      </w:r>
    </w:p>
    <w:p w14:paraId="333ED829" w14:textId="1C6E6CB5" w:rsidR="00625183" w:rsidRPr="00625183" w:rsidRDefault="00625183" w:rsidP="00C13E11">
      <w:pPr>
        <w:pStyle w:val="ListParagraph"/>
        <w:numPr>
          <w:ilvl w:val="1"/>
          <w:numId w:val="10"/>
        </w:numPr>
        <w:ind w:left="700"/>
        <w:rPr>
          <w:rFonts w:ascii="Arial" w:hAnsi="Arial" w:cs="Arial"/>
          <w:sz w:val="20"/>
          <w:szCs w:val="20"/>
          <w:lang w:val="en-CA"/>
        </w:rPr>
      </w:pPr>
      <w:r w:rsidRPr="00625183">
        <w:rPr>
          <w:rFonts w:ascii="Arial" w:hAnsi="Arial" w:cs="Arial"/>
          <w:sz w:val="20"/>
          <w:szCs w:val="20"/>
          <w:lang w:val="en-CA"/>
        </w:rPr>
        <w:t>To test the MERL guide criteria for scoring and coding R</w:t>
      </w:r>
      <w:r w:rsidR="002036CC">
        <w:rPr>
          <w:rFonts w:ascii="Arial" w:hAnsi="Arial" w:cs="Arial"/>
          <w:sz w:val="20"/>
          <w:szCs w:val="20"/>
          <w:lang w:val="en-CA"/>
        </w:rPr>
        <w:t>esults Framework operational</w:t>
      </w:r>
      <w:r w:rsidRPr="00625183">
        <w:rPr>
          <w:rFonts w:ascii="Arial" w:hAnsi="Arial" w:cs="Arial"/>
          <w:sz w:val="20"/>
          <w:szCs w:val="20"/>
          <w:lang w:val="en-CA"/>
        </w:rPr>
        <w:t xml:space="preserve"> indicators</w:t>
      </w:r>
      <w:r w:rsidR="00C13E11">
        <w:rPr>
          <w:rFonts w:ascii="Arial" w:hAnsi="Arial" w:cs="Arial"/>
          <w:sz w:val="20"/>
          <w:szCs w:val="20"/>
          <w:lang w:val="en-CA"/>
        </w:rPr>
        <w:t xml:space="preserve"> (noting the limitations of using a secondary limited dataset).</w:t>
      </w:r>
    </w:p>
    <w:p w14:paraId="0CF771F1" w14:textId="2B5738CE" w:rsidR="00625183" w:rsidRPr="00625183" w:rsidRDefault="00625183" w:rsidP="00C13E11">
      <w:pPr>
        <w:pStyle w:val="ListParagraph"/>
        <w:numPr>
          <w:ilvl w:val="1"/>
          <w:numId w:val="10"/>
        </w:numPr>
        <w:ind w:left="700"/>
        <w:rPr>
          <w:rFonts w:ascii="Arial" w:hAnsi="Arial" w:cs="Arial"/>
          <w:sz w:val="20"/>
          <w:szCs w:val="20"/>
          <w:lang w:val="en-CA"/>
        </w:rPr>
      </w:pPr>
      <w:r w:rsidRPr="00625183">
        <w:rPr>
          <w:rFonts w:ascii="Arial" w:hAnsi="Arial" w:cs="Arial"/>
          <w:sz w:val="20"/>
          <w:szCs w:val="20"/>
          <w:lang w:val="en-CA"/>
        </w:rPr>
        <w:t xml:space="preserve">To provide </w:t>
      </w:r>
      <w:r w:rsidR="00C13E11">
        <w:rPr>
          <w:rFonts w:ascii="Arial" w:hAnsi="Arial" w:cs="Arial"/>
          <w:sz w:val="20"/>
          <w:szCs w:val="20"/>
          <w:lang w:val="en-CA"/>
        </w:rPr>
        <w:t>concrete e</w:t>
      </w:r>
      <w:r w:rsidRPr="00625183">
        <w:rPr>
          <w:rFonts w:ascii="Arial" w:hAnsi="Arial" w:cs="Arial"/>
          <w:sz w:val="20"/>
          <w:szCs w:val="20"/>
          <w:lang w:val="en-CA"/>
        </w:rPr>
        <w:t xml:space="preserve">xamples </w:t>
      </w:r>
      <w:r w:rsidR="002036CC">
        <w:rPr>
          <w:rFonts w:ascii="Arial" w:hAnsi="Arial" w:cs="Arial"/>
          <w:sz w:val="20"/>
          <w:szCs w:val="20"/>
          <w:lang w:val="en-CA"/>
        </w:rPr>
        <w:t xml:space="preserve">and source materials </w:t>
      </w:r>
      <w:r w:rsidRPr="00625183">
        <w:rPr>
          <w:rFonts w:ascii="Arial" w:hAnsi="Arial" w:cs="Arial"/>
          <w:sz w:val="20"/>
          <w:szCs w:val="20"/>
          <w:lang w:val="en-CA"/>
        </w:rPr>
        <w:t>on how to code the GPSA RF indicators for</w:t>
      </w:r>
      <w:r w:rsidR="002036CC" w:rsidRPr="00625183">
        <w:rPr>
          <w:rFonts w:ascii="Arial" w:hAnsi="Arial" w:cs="Arial"/>
          <w:sz w:val="20"/>
          <w:szCs w:val="20"/>
          <w:lang w:val="en-CA"/>
        </w:rPr>
        <w:t xml:space="preserve"> other stakeholders </w:t>
      </w:r>
      <w:r w:rsidR="002036CC">
        <w:rPr>
          <w:rFonts w:ascii="Arial" w:hAnsi="Arial" w:cs="Arial"/>
          <w:sz w:val="20"/>
          <w:szCs w:val="20"/>
          <w:lang w:val="en-CA"/>
        </w:rPr>
        <w:t>(</w:t>
      </w:r>
      <w:r w:rsidRPr="00625183">
        <w:rPr>
          <w:rFonts w:ascii="Arial" w:hAnsi="Arial" w:cs="Arial"/>
          <w:sz w:val="20"/>
          <w:szCs w:val="20"/>
          <w:lang w:val="en-CA"/>
        </w:rPr>
        <w:t>MERL Consultants, GPSA</w:t>
      </w:r>
      <w:r w:rsidR="00E90175">
        <w:rPr>
          <w:rFonts w:ascii="Arial" w:hAnsi="Arial" w:cs="Arial"/>
          <w:sz w:val="20"/>
          <w:szCs w:val="20"/>
          <w:lang w:val="en-CA"/>
        </w:rPr>
        <w:t>/World Bank</w:t>
      </w:r>
      <w:r w:rsidRPr="00625183">
        <w:rPr>
          <w:rFonts w:ascii="Arial" w:hAnsi="Arial" w:cs="Arial"/>
          <w:sz w:val="20"/>
          <w:szCs w:val="20"/>
          <w:lang w:val="en-CA"/>
        </w:rPr>
        <w:t xml:space="preserve"> staff, grant partners)</w:t>
      </w:r>
    </w:p>
    <w:p w14:paraId="0BDAE440" w14:textId="5546CC11" w:rsidR="00625183" w:rsidRPr="00625183" w:rsidRDefault="00625183" w:rsidP="00C13E11">
      <w:pPr>
        <w:pStyle w:val="ListParagraph"/>
        <w:numPr>
          <w:ilvl w:val="1"/>
          <w:numId w:val="10"/>
        </w:numPr>
        <w:ind w:left="700"/>
        <w:rPr>
          <w:rFonts w:ascii="Arial" w:hAnsi="Arial" w:cs="Arial"/>
          <w:sz w:val="20"/>
          <w:szCs w:val="20"/>
          <w:lang w:val="en-CA"/>
        </w:rPr>
      </w:pPr>
      <w:r w:rsidRPr="00625183">
        <w:rPr>
          <w:rFonts w:ascii="Arial" w:hAnsi="Arial" w:cs="Arial"/>
          <w:sz w:val="20"/>
          <w:szCs w:val="20"/>
          <w:lang w:val="en-CA"/>
        </w:rPr>
        <w:t>To provide a detailed reference document for GPSA institutional memory (</w:t>
      </w:r>
      <w:r w:rsidR="00772B25" w:rsidRPr="00625183">
        <w:rPr>
          <w:rFonts w:ascii="Arial" w:hAnsi="Arial" w:cs="Arial"/>
          <w:sz w:val="20"/>
          <w:szCs w:val="20"/>
          <w:lang w:val="en-CA"/>
        </w:rPr>
        <w:t>i.e.,</w:t>
      </w:r>
      <w:r w:rsidRPr="00625183">
        <w:rPr>
          <w:rFonts w:ascii="Arial" w:hAnsi="Arial" w:cs="Arial"/>
          <w:sz w:val="20"/>
          <w:szCs w:val="20"/>
          <w:lang w:val="en-CA"/>
        </w:rPr>
        <w:t xml:space="preserve"> the fully coded and aggregated sample set</w:t>
      </w:r>
      <w:r w:rsidR="00C13E11">
        <w:rPr>
          <w:rFonts w:ascii="Arial" w:hAnsi="Arial" w:cs="Arial"/>
          <w:sz w:val="20"/>
          <w:szCs w:val="20"/>
          <w:lang w:val="en-CA"/>
        </w:rPr>
        <w:t xml:space="preserve"> and </w:t>
      </w:r>
      <w:r w:rsidRPr="00625183">
        <w:rPr>
          <w:rFonts w:ascii="Arial" w:hAnsi="Arial" w:cs="Arial"/>
          <w:sz w:val="20"/>
          <w:szCs w:val="20"/>
          <w:lang w:val="en-CA"/>
        </w:rPr>
        <w:t xml:space="preserve">the process </w:t>
      </w:r>
      <w:r w:rsidR="00C13E11">
        <w:rPr>
          <w:rFonts w:ascii="Arial" w:hAnsi="Arial" w:cs="Arial"/>
          <w:sz w:val="20"/>
          <w:szCs w:val="20"/>
          <w:lang w:val="en-CA"/>
        </w:rPr>
        <w:t xml:space="preserve">and findings </w:t>
      </w:r>
      <w:r w:rsidRPr="00625183">
        <w:rPr>
          <w:rFonts w:ascii="Arial" w:hAnsi="Arial" w:cs="Arial"/>
          <w:sz w:val="20"/>
          <w:szCs w:val="20"/>
          <w:lang w:val="en-CA"/>
        </w:rPr>
        <w:t>report)</w:t>
      </w:r>
    </w:p>
    <w:p w14:paraId="6773197B" w14:textId="77777777" w:rsidR="003A28E0" w:rsidRDefault="003A28E0" w:rsidP="003A28E0">
      <w:pPr>
        <w:pStyle w:val="ListParagraph"/>
        <w:rPr>
          <w:rFonts w:ascii="Arial" w:hAnsi="Arial" w:cs="Arial"/>
          <w:sz w:val="20"/>
          <w:szCs w:val="20"/>
          <w:lang w:val="en-CA"/>
        </w:rPr>
      </w:pPr>
    </w:p>
    <w:p w14:paraId="069DBE5E" w14:textId="77777777" w:rsidR="000616BB" w:rsidRDefault="006260DB" w:rsidP="00874AAB">
      <w:pPr>
        <w:spacing w:after="0"/>
        <w:rPr>
          <w:rFonts w:ascii="Arial" w:hAnsi="Arial" w:cs="Arial"/>
          <w:b/>
          <w:bCs/>
          <w:sz w:val="20"/>
          <w:szCs w:val="20"/>
        </w:rPr>
      </w:pPr>
      <w:r>
        <w:rPr>
          <w:rFonts w:ascii="Arial" w:hAnsi="Arial" w:cs="Arial"/>
          <w:b/>
          <w:bCs/>
          <w:sz w:val="20"/>
          <w:szCs w:val="20"/>
        </w:rPr>
        <w:t xml:space="preserve">2.2 </w:t>
      </w:r>
      <w:r w:rsidR="003A28E0" w:rsidRPr="0087610E">
        <w:rPr>
          <w:rFonts w:ascii="Arial" w:hAnsi="Arial" w:cs="Arial"/>
          <w:b/>
          <w:bCs/>
          <w:sz w:val="20"/>
          <w:szCs w:val="20"/>
        </w:rPr>
        <w:t>Scope</w:t>
      </w:r>
    </w:p>
    <w:p w14:paraId="5526D232" w14:textId="77777777" w:rsidR="000616BB" w:rsidRDefault="000616BB" w:rsidP="00874AAB">
      <w:pPr>
        <w:spacing w:after="0"/>
        <w:rPr>
          <w:rFonts w:ascii="Arial" w:hAnsi="Arial" w:cs="Arial"/>
          <w:b/>
          <w:bCs/>
          <w:sz w:val="20"/>
          <w:szCs w:val="20"/>
        </w:rPr>
      </w:pPr>
    </w:p>
    <w:p w14:paraId="2F81EE46" w14:textId="417766BC" w:rsidR="003A28E0" w:rsidRPr="003157E4" w:rsidRDefault="000167F0" w:rsidP="00874AAB">
      <w:pPr>
        <w:spacing w:after="0"/>
        <w:rPr>
          <w:rFonts w:ascii="Arial" w:hAnsi="Arial" w:cs="Arial"/>
          <w:sz w:val="20"/>
          <w:szCs w:val="20"/>
        </w:rPr>
      </w:pPr>
      <w:r>
        <w:rPr>
          <w:rFonts w:ascii="Arial" w:hAnsi="Arial" w:cs="Arial"/>
          <w:sz w:val="20"/>
          <w:szCs w:val="20"/>
        </w:rPr>
        <w:t>This</w:t>
      </w:r>
      <w:r w:rsidR="00F60DEB">
        <w:rPr>
          <w:rFonts w:ascii="Arial" w:hAnsi="Arial" w:cs="Arial"/>
          <w:sz w:val="20"/>
          <w:szCs w:val="20"/>
        </w:rPr>
        <w:t xml:space="preserve"> </w:t>
      </w:r>
      <w:r w:rsidR="00772B25">
        <w:rPr>
          <w:rFonts w:ascii="Arial" w:hAnsi="Arial" w:cs="Arial"/>
          <w:sz w:val="20"/>
          <w:szCs w:val="20"/>
        </w:rPr>
        <w:t>this</w:t>
      </w:r>
      <w:r w:rsidR="00F60DEB">
        <w:rPr>
          <w:rFonts w:ascii="Arial" w:hAnsi="Arial" w:cs="Arial"/>
          <w:sz w:val="20"/>
          <w:szCs w:val="20"/>
        </w:rPr>
        <w:t xml:space="preserve"> coding exercise focused</w:t>
      </w:r>
      <w:r w:rsidR="00CA156C">
        <w:rPr>
          <w:rFonts w:ascii="Arial" w:hAnsi="Arial" w:cs="Arial"/>
          <w:sz w:val="20"/>
          <w:szCs w:val="20"/>
        </w:rPr>
        <w:t xml:space="preserve"> on the operational indicators from the GPSA Results Framework which are intended to be included in all grant partner project Results Framework (or a fit-for-purpose functional </w:t>
      </w:r>
      <w:r w:rsidR="002F74B4">
        <w:rPr>
          <w:rFonts w:ascii="Arial" w:hAnsi="Arial" w:cs="Arial"/>
          <w:sz w:val="20"/>
          <w:szCs w:val="20"/>
        </w:rPr>
        <w:t>equivalent</w:t>
      </w:r>
      <w:r w:rsidR="00CA156C">
        <w:rPr>
          <w:rFonts w:ascii="Arial" w:hAnsi="Arial" w:cs="Arial"/>
          <w:sz w:val="20"/>
          <w:szCs w:val="20"/>
        </w:rPr>
        <w:t>)</w:t>
      </w:r>
      <w:r w:rsidR="0087610E">
        <w:rPr>
          <w:rFonts w:ascii="Arial" w:hAnsi="Arial" w:cs="Arial"/>
          <w:sz w:val="20"/>
          <w:szCs w:val="20"/>
        </w:rPr>
        <w:t xml:space="preserve">. These are provided below for reference. The other indicators meant for World Bank/GPSA performance assessment are not included </w:t>
      </w:r>
      <w:proofErr w:type="gramStart"/>
      <w:r w:rsidR="0087610E">
        <w:rPr>
          <w:rFonts w:ascii="Arial" w:hAnsi="Arial" w:cs="Arial"/>
          <w:sz w:val="20"/>
          <w:szCs w:val="20"/>
        </w:rPr>
        <w:t>with the exception of</w:t>
      </w:r>
      <w:proofErr w:type="gramEnd"/>
      <w:r w:rsidR="0087610E">
        <w:rPr>
          <w:rFonts w:ascii="Arial" w:hAnsi="Arial" w:cs="Arial"/>
          <w:sz w:val="20"/>
          <w:szCs w:val="20"/>
        </w:rPr>
        <w:t xml:space="preserve"> output 3 indicator specifically. While this is not for grant partner purposes, it was deemed as possible to retroactively code for this exercise and was therefore included. </w:t>
      </w:r>
      <w:r w:rsidR="00772B25">
        <w:rPr>
          <w:rFonts w:ascii="Arial" w:hAnsi="Arial" w:cs="Arial"/>
          <w:sz w:val="20"/>
          <w:szCs w:val="20"/>
        </w:rPr>
        <w:t>Therefore,</w:t>
      </w:r>
      <w:r w:rsidR="0087610E">
        <w:rPr>
          <w:rFonts w:ascii="Arial" w:hAnsi="Arial" w:cs="Arial"/>
          <w:sz w:val="20"/>
          <w:szCs w:val="20"/>
        </w:rPr>
        <w:t xml:space="preserve"> when reviewing the below </w:t>
      </w:r>
      <w:r w:rsidR="00772B25">
        <w:rPr>
          <w:rFonts w:ascii="Arial" w:hAnsi="Arial" w:cs="Arial"/>
          <w:sz w:val="20"/>
          <w:szCs w:val="20"/>
        </w:rPr>
        <w:t>Results Framework,</w:t>
      </w:r>
      <w:r w:rsidR="0087610E">
        <w:rPr>
          <w:rFonts w:ascii="Arial" w:hAnsi="Arial" w:cs="Arial"/>
          <w:sz w:val="20"/>
          <w:szCs w:val="20"/>
        </w:rPr>
        <w:t xml:space="preserve"> it is important to remember that it does not include all the indicators. For</w:t>
      </w:r>
      <w:r w:rsidR="00C60978">
        <w:rPr>
          <w:rFonts w:ascii="Arial" w:hAnsi="Arial" w:cs="Arial"/>
          <w:sz w:val="20"/>
          <w:szCs w:val="20"/>
        </w:rPr>
        <w:t xml:space="preserve"> reference to all indicators,</w:t>
      </w:r>
      <w:r w:rsidR="0087610E">
        <w:rPr>
          <w:rFonts w:ascii="Arial" w:hAnsi="Arial" w:cs="Arial"/>
          <w:sz w:val="20"/>
          <w:szCs w:val="20"/>
        </w:rPr>
        <w:t xml:space="preserve"> please see </w:t>
      </w:r>
      <w:r>
        <w:rPr>
          <w:rFonts w:ascii="Arial" w:hAnsi="Arial" w:cs="Arial"/>
          <w:sz w:val="20"/>
          <w:szCs w:val="20"/>
        </w:rPr>
        <w:t xml:space="preserve">the complete Results Framework on the GPSA website. </w:t>
      </w:r>
    </w:p>
    <w:p w14:paraId="38521263" w14:textId="25DD23B1" w:rsidR="00140923" w:rsidRPr="003157E4" w:rsidRDefault="00140923" w:rsidP="00874AAB">
      <w:pPr>
        <w:spacing w:after="0"/>
        <w:rPr>
          <w:rFonts w:ascii="Arial" w:hAnsi="Arial" w:cs="Arial"/>
          <w:sz w:val="20"/>
          <w:szCs w:val="20"/>
        </w:rPr>
      </w:pPr>
    </w:p>
    <w:p w14:paraId="54BA3CE1" w14:textId="1CAD05AD" w:rsidR="00A43995" w:rsidRDefault="00A43995" w:rsidP="00A43995">
      <w:pPr>
        <w:pStyle w:val="Caption"/>
        <w:keepNext/>
      </w:pPr>
      <w:r>
        <w:t xml:space="preserve">Table </w:t>
      </w:r>
      <w:fldSimple w:instr=" SEQ Table \* ARABIC ">
        <w:r w:rsidR="00C1597B">
          <w:rPr>
            <w:noProof/>
          </w:rPr>
          <w:t>1</w:t>
        </w:r>
      </w:fldSimple>
      <w:r>
        <w:t xml:space="preserve">: Adapted version of the GPSA Results Framework for </w:t>
      </w:r>
      <w:r w:rsidR="002F74B4">
        <w:t>indicators</w:t>
      </w:r>
      <w:r>
        <w:t xml:space="preserve"> included in the coding exercise</w:t>
      </w:r>
    </w:p>
    <w:tbl>
      <w:tblPr>
        <w:tblW w:w="492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120"/>
        <w:gridCol w:w="6093"/>
      </w:tblGrid>
      <w:tr w:rsidR="00140923" w:rsidRPr="003157E4" w14:paraId="284E2B77" w14:textId="77777777" w:rsidTr="009A5FDC">
        <w:tc>
          <w:tcPr>
            <w:tcW w:w="1693" w:type="pct"/>
            <w:tcMar>
              <w:top w:w="100" w:type="dxa"/>
              <w:left w:w="108" w:type="dxa"/>
              <w:bottom w:w="100" w:type="dxa"/>
              <w:right w:w="108" w:type="dxa"/>
            </w:tcMar>
          </w:tcPr>
          <w:p w14:paraId="575A970B" w14:textId="38C8370F" w:rsidR="00140923" w:rsidRPr="003157E4" w:rsidRDefault="00140923" w:rsidP="00874BAF">
            <w:pPr>
              <w:pStyle w:val="Normal1"/>
              <w:spacing w:before="120" w:after="120"/>
              <w:ind w:left="90" w:right="-90"/>
              <w:contextualSpacing w:val="0"/>
              <w:jc w:val="both"/>
              <w:rPr>
                <w:rFonts w:ascii="Arial" w:eastAsia="Times New Roman" w:hAnsi="Arial" w:cs="Arial"/>
                <w:b/>
                <w:bCs/>
                <w:color w:val="auto"/>
                <w:sz w:val="20"/>
                <w:szCs w:val="20"/>
              </w:rPr>
            </w:pPr>
            <w:r w:rsidRPr="003157E4">
              <w:rPr>
                <w:rFonts w:ascii="Arial" w:eastAsia="Times New Roman" w:hAnsi="Arial" w:cs="Arial"/>
                <w:b/>
                <w:bCs/>
                <w:color w:val="auto"/>
                <w:sz w:val="20"/>
                <w:szCs w:val="20"/>
              </w:rPr>
              <w:t>GPSA Results Framework outcomes/outputs</w:t>
            </w:r>
          </w:p>
        </w:tc>
        <w:tc>
          <w:tcPr>
            <w:tcW w:w="3307" w:type="pct"/>
            <w:tcMar>
              <w:top w:w="100" w:type="dxa"/>
              <w:left w:w="108" w:type="dxa"/>
              <w:bottom w:w="100" w:type="dxa"/>
              <w:right w:w="108" w:type="dxa"/>
            </w:tcMar>
          </w:tcPr>
          <w:p w14:paraId="496153F1" w14:textId="29A39FD2" w:rsidR="00140923" w:rsidRPr="003157E4" w:rsidRDefault="00140923" w:rsidP="00874BAF">
            <w:pPr>
              <w:pStyle w:val="Normal1"/>
              <w:spacing w:before="120" w:after="120"/>
              <w:ind w:left="90" w:right="-90"/>
              <w:contextualSpacing w:val="0"/>
              <w:rPr>
                <w:rFonts w:ascii="Arial" w:eastAsia="Times New Roman" w:hAnsi="Arial" w:cs="Arial"/>
                <w:color w:val="auto"/>
                <w:sz w:val="20"/>
                <w:szCs w:val="20"/>
              </w:rPr>
            </w:pPr>
            <w:r w:rsidRPr="003157E4">
              <w:rPr>
                <w:rFonts w:ascii="Arial" w:eastAsia="Times New Roman" w:hAnsi="Arial" w:cs="Arial"/>
                <w:b/>
                <w:bCs/>
                <w:color w:val="auto"/>
                <w:sz w:val="20"/>
                <w:szCs w:val="20"/>
              </w:rPr>
              <w:t xml:space="preserve">Operational Indicators </w:t>
            </w:r>
          </w:p>
        </w:tc>
      </w:tr>
      <w:tr w:rsidR="00140923" w:rsidRPr="003157E4" w14:paraId="652C1B3E" w14:textId="77777777" w:rsidTr="009A5FDC">
        <w:trPr>
          <w:trHeight w:val="520"/>
        </w:trPr>
        <w:tc>
          <w:tcPr>
            <w:tcW w:w="1693" w:type="pct"/>
            <w:tcMar>
              <w:top w:w="100" w:type="dxa"/>
              <w:left w:w="108" w:type="dxa"/>
              <w:bottom w:w="100" w:type="dxa"/>
              <w:right w:w="108" w:type="dxa"/>
            </w:tcMar>
          </w:tcPr>
          <w:p w14:paraId="75ECDF9B" w14:textId="2FA8033E" w:rsidR="00140923" w:rsidRPr="003157E4" w:rsidRDefault="00140923" w:rsidP="0054538E">
            <w:pPr>
              <w:pStyle w:val="Normal1"/>
              <w:spacing w:before="120" w:after="120"/>
              <w:ind w:left="90" w:right="-90"/>
              <w:contextualSpacing w:val="0"/>
              <w:rPr>
                <w:rFonts w:ascii="Arial" w:eastAsia="Times New Roman" w:hAnsi="Arial" w:cs="Arial"/>
                <w:i/>
                <w:iCs/>
                <w:color w:val="auto"/>
                <w:sz w:val="20"/>
                <w:szCs w:val="20"/>
              </w:rPr>
            </w:pPr>
            <w:r w:rsidRPr="003157E4">
              <w:rPr>
                <w:rFonts w:ascii="Arial" w:eastAsia="Times New Roman" w:hAnsi="Arial" w:cs="Arial"/>
                <w:i/>
                <w:iCs/>
                <w:color w:val="auto"/>
                <w:sz w:val="20"/>
                <w:szCs w:val="20"/>
              </w:rPr>
              <w:t>Outcome 1:</w:t>
            </w:r>
            <w:bookmarkStart w:id="0" w:name="_Hlk14168524"/>
            <w:r w:rsidR="0054538E" w:rsidRPr="003157E4">
              <w:rPr>
                <w:rFonts w:ascii="Arial" w:eastAsia="Times New Roman" w:hAnsi="Arial" w:cs="Arial"/>
                <w:i/>
                <w:iCs/>
                <w:color w:val="auto"/>
                <w:sz w:val="20"/>
                <w:szCs w:val="20"/>
              </w:rPr>
              <w:t xml:space="preserve"> </w:t>
            </w:r>
            <w:r w:rsidRPr="003157E4">
              <w:rPr>
                <w:rFonts w:ascii="Arial" w:eastAsia="Times New Roman" w:hAnsi="Arial" w:cs="Arial"/>
                <w:i/>
                <w:iCs/>
                <w:color w:val="auto"/>
                <w:sz w:val="20"/>
                <w:szCs w:val="20"/>
              </w:rPr>
              <w:t>Civil society partners</w:t>
            </w:r>
            <w:r w:rsidRPr="003157E4">
              <w:rPr>
                <w:rFonts w:ascii="Arial" w:eastAsiaTheme="majorEastAsia" w:hAnsi="Arial" w:cs="Arial"/>
                <w:color w:val="auto"/>
                <w:sz w:val="20"/>
                <w:szCs w:val="20"/>
              </w:rPr>
              <w:t xml:space="preserve"> </w:t>
            </w:r>
            <w:r w:rsidRPr="003157E4">
              <w:rPr>
                <w:rFonts w:ascii="Arial" w:eastAsiaTheme="majorEastAsia" w:hAnsi="Arial" w:cs="Arial"/>
                <w:i/>
                <w:iCs/>
                <w:color w:val="auto"/>
                <w:sz w:val="20"/>
                <w:szCs w:val="20"/>
              </w:rPr>
              <w:t xml:space="preserve">(lead grant partner and implementing CSO partners) </w:t>
            </w:r>
            <w:r w:rsidRPr="003157E4">
              <w:rPr>
                <w:rFonts w:ascii="Arial" w:eastAsia="Times New Roman" w:hAnsi="Arial" w:cs="Arial"/>
                <w:i/>
                <w:iCs/>
                <w:color w:val="auto"/>
                <w:sz w:val="20"/>
                <w:szCs w:val="20"/>
              </w:rPr>
              <w:t>have improved capacity to engage meaningfully and collaboratively in policy making and implementation and service delivery processes.</w:t>
            </w:r>
            <w:bookmarkEnd w:id="0"/>
          </w:p>
        </w:tc>
        <w:tc>
          <w:tcPr>
            <w:tcW w:w="3307" w:type="pct"/>
            <w:tcMar>
              <w:top w:w="100" w:type="dxa"/>
              <w:left w:w="108" w:type="dxa"/>
              <w:bottom w:w="100" w:type="dxa"/>
              <w:right w:w="108" w:type="dxa"/>
            </w:tcMar>
          </w:tcPr>
          <w:p w14:paraId="3166B232" w14:textId="747E143B" w:rsidR="00140923" w:rsidRPr="003157E4" w:rsidRDefault="00140923" w:rsidP="00874BAF">
            <w:pPr>
              <w:pStyle w:val="CommentText"/>
              <w:rPr>
                <w:rFonts w:ascii="Arial" w:eastAsiaTheme="majorEastAsia" w:hAnsi="Arial" w:cs="Arial"/>
              </w:rPr>
            </w:pPr>
            <w:r w:rsidRPr="003157E4">
              <w:rPr>
                <w:rFonts w:ascii="Arial" w:eastAsiaTheme="majorEastAsia" w:hAnsi="Arial" w:cs="Arial"/>
              </w:rPr>
              <w:t>1a) Percentage of grant partners and their implementing CSO partners with improved capacity to engage meaningfully and collaboratively with one another and other stakeholders in the compact(s).</w:t>
            </w:r>
          </w:p>
          <w:p w14:paraId="4BCEFCD5" w14:textId="77777777" w:rsidR="00140923" w:rsidRPr="003157E4" w:rsidRDefault="00140923" w:rsidP="00874BAF">
            <w:pPr>
              <w:pStyle w:val="CommentText"/>
              <w:rPr>
                <w:rFonts w:ascii="Arial" w:eastAsiaTheme="majorEastAsia" w:hAnsi="Arial" w:cs="Arial"/>
              </w:rPr>
            </w:pPr>
            <w:r w:rsidRPr="003157E4">
              <w:rPr>
                <w:rFonts w:ascii="Arial" w:eastAsiaTheme="majorEastAsia" w:hAnsi="Arial" w:cs="Arial"/>
              </w:rPr>
              <w:t>1b) Percentage of grants in which civil society actors, citizens and public sector institutions demonstrate improved capacity to engage meaningfully and collaboratively.</w:t>
            </w:r>
          </w:p>
          <w:p w14:paraId="7A9C5233" w14:textId="6B8B7F62" w:rsidR="00140923" w:rsidRPr="003157E4" w:rsidRDefault="00140923" w:rsidP="0054538E">
            <w:pPr>
              <w:pStyle w:val="Normal1"/>
              <w:spacing w:before="120" w:after="120"/>
              <w:ind w:right="-90"/>
              <w:jc w:val="both"/>
              <w:rPr>
                <w:rFonts w:ascii="Arial" w:hAnsi="Arial" w:cs="Arial"/>
                <w:color w:val="auto"/>
                <w:sz w:val="20"/>
                <w:szCs w:val="20"/>
              </w:rPr>
            </w:pPr>
            <w:r w:rsidRPr="003157E4">
              <w:rPr>
                <w:rFonts w:ascii="Arial" w:hAnsi="Arial" w:cs="Arial"/>
                <w:color w:val="auto"/>
                <w:sz w:val="20"/>
                <w:szCs w:val="20"/>
              </w:rPr>
              <w:t xml:space="preserve">1c) </w:t>
            </w:r>
            <w:r w:rsidRPr="003157E4">
              <w:rPr>
                <w:rFonts w:ascii="Arial" w:eastAsiaTheme="majorEastAsia" w:hAnsi="Arial" w:cs="Arial"/>
                <w:color w:val="auto"/>
                <w:sz w:val="20"/>
                <w:szCs w:val="20"/>
              </w:rPr>
              <w:t xml:space="preserve">Percentage of </w:t>
            </w:r>
            <w:r w:rsidRPr="003157E4">
              <w:rPr>
                <w:rFonts w:ascii="Arial" w:hAnsi="Arial" w:cs="Arial"/>
                <w:color w:val="auto"/>
                <w:sz w:val="20"/>
                <w:szCs w:val="20"/>
              </w:rPr>
              <w:t xml:space="preserve">grants that contribute to corrective measures taken by public sector actors to address proximate causes of service </w:t>
            </w:r>
            <w:r w:rsidRPr="003157E4">
              <w:rPr>
                <w:rFonts w:ascii="Arial" w:hAnsi="Arial" w:cs="Arial"/>
                <w:color w:val="auto"/>
                <w:sz w:val="20"/>
                <w:szCs w:val="20"/>
              </w:rPr>
              <w:lastRenderedPageBreak/>
              <w:t xml:space="preserve">delivery failure. </w:t>
            </w:r>
          </w:p>
          <w:p w14:paraId="61A2C46A" w14:textId="77777777" w:rsidR="0054538E" w:rsidRPr="003157E4" w:rsidRDefault="0054538E" w:rsidP="0054538E">
            <w:pPr>
              <w:pStyle w:val="Normal1"/>
              <w:spacing w:before="120" w:after="120"/>
              <w:ind w:right="-90"/>
              <w:jc w:val="both"/>
              <w:rPr>
                <w:rFonts w:ascii="Arial" w:hAnsi="Arial" w:cs="Arial"/>
                <w:color w:val="auto"/>
                <w:sz w:val="20"/>
                <w:szCs w:val="20"/>
              </w:rPr>
            </w:pPr>
          </w:p>
          <w:p w14:paraId="5D694C21" w14:textId="564203A7" w:rsidR="00140923" w:rsidRPr="003157E4" w:rsidRDefault="00140923" w:rsidP="0054538E">
            <w:pPr>
              <w:pStyle w:val="Normal1"/>
              <w:spacing w:before="120" w:after="120"/>
              <w:ind w:right="-90"/>
              <w:contextualSpacing w:val="0"/>
              <w:rPr>
                <w:rFonts w:ascii="Arial" w:eastAsia="Times New Roman" w:hAnsi="Arial" w:cs="Arial"/>
                <w:color w:val="auto"/>
                <w:sz w:val="20"/>
                <w:szCs w:val="20"/>
              </w:rPr>
            </w:pPr>
            <w:r w:rsidRPr="003157E4">
              <w:rPr>
                <w:rFonts w:ascii="Arial" w:hAnsi="Arial" w:cs="Arial"/>
                <w:color w:val="auto"/>
                <w:sz w:val="20"/>
                <w:szCs w:val="20"/>
              </w:rPr>
              <w:t>The third indicator (1c) is a measure of the grant’s contribution to improvement in service delivery in each project, based on the requirements of each grant. This indicator will be at the P</w:t>
            </w:r>
            <w:r w:rsidR="00E83517">
              <w:rPr>
                <w:rFonts w:ascii="Arial" w:hAnsi="Arial" w:cs="Arial"/>
                <w:color w:val="auto"/>
                <w:sz w:val="20"/>
                <w:szCs w:val="20"/>
              </w:rPr>
              <w:t xml:space="preserve">roject </w:t>
            </w:r>
            <w:r w:rsidRPr="003157E4">
              <w:rPr>
                <w:rFonts w:ascii="Arial" w:hAnsi="Arial" w:cs="Arial"/>
                <w:color w:val="auto"/>
                <w:sz w:val="20"/>
                <w:szCs w:val="20"/>
              </w:rPr>
              <w:t>D</w:t>
            </w:r>
            <w:r w:rsidR="00E83517">
              <w:rPr>
                <w:rFonts w:ascii="Arial" w:hAnsi="Arial" w:cs="Arial"/>
                <w:color w:val="auto"/>
                <w:sz w:val="20"/>
                <w:szCs w:val="20"/>
              </w:rPr>
              <w:t xml:space="preserve">evelopment </w:t>
            </w:r>
            <w:r w:rsidRPr="003157E4">
              <w:rPr>
                <w:rFonts w:ascii="Arial" w:hAnsi="Arial" w:cs="Arial"/>
                <w:color w:val="auto"/>
                <w:sz w:val="20"/>
                <w:szCs w:val="20"/>
              </w:rPr>
              <w:t>O</w:t>
            </w:r>
            <w:r w:rsidR="00E83517">
              <w:rPr>
                <w:rFonts w:ascii="Arial" w:hAnsi="Arial" w:cs="Arial"/>
                <w:color w:val="auto"/>
                <w:sz w:val="20"/>
                <w:szCs w:val="20"/>
              </w:rPr>
              <w:t>bjective</w:t>
            </w:r>
            <w:r w:rsidRPr="003157E4">
              <w:rPr>
                <w:rFonts w:ascii="Arial" w:hAnsi="Arial" w:cs="Arial"/>
                <w:color w:val="auto"/>
                <w:sz w:val="20"/>
                <w:szCs w:val="20"/>
              </w:rPr>
              <w:t xml:space="preserve"> level in grant partner projects.</w:t>
            </w:r>
          </w:p>
        </w:tc>
      </w:tr>
      <w:tr w:rsidR="00140923" w:rsidRPr="003157E4" w14:paraId="4DBA3B18" w14:textId="77777777" w:rsidTr="009A5FDC">
        <w:trPr>
          <w:trHeight w:val="520"/>
        </w:trPr>
        <w:tc>
          <w:tcPr>
            <w:tcW w:w="1693" w:type="pct"/>
            <w:tcMar>
              <w:top w:w="100" w:type="dxa"/>
              <w:left w:w="108" w:type="dxa"/>
              <w:bottom w:w="100" w:type="dxa"/>
              <w:right w:w="108" w:type="dxa"/>
            </w:tcMar>
          </w:tcPr>
          <w:p w14:paraId="65214E00" w14:textId="27C630AC" w:rsidR="00140923" w:rsidRPr="003157E4" w:rsidRDefault="00140923" w:rsidP="0054538E">
            <w:pPr>
              <w:pStyle w:val="Normal1"/>
              <w:spacing w:before="120" w:after="120"/>
              <w:ind w:left="90" w:right="-90"/>
              <w:contextualSpacing w:val="0"/>
              <w:rPr>
                <w:rFonts w:ascii="Arial" w:eastAsia="Times New Roman" w:hAnsi="Arial" w:cs="Arial"/>
                <w:color w:val="auto"/>
                <w:sz w:val="20"/>
                <w:szCs w:val="20"/>
              </w:rPr>
            </w:pPr>
            <w:bookmarkStart w:id="1" w:name="_Hlk14251801"/>
            <w:r w:rsidRPr="003157E4">
              <w:rPr>
                <w:rFonts w:ascii="Arial" w:eastAsia="Times New Roman" w:hAnsi="Arial" w:cs="Arial"/>
                <w:i/>
                <w:iCs/>
                <w:color w:val="auto"/>
                <w:sz w:val="20"/>
                <w:szCs w:val="20"/>
              </w:rPr>
              <w:lastRenderedPageBreak/>
              <w:t>Outcome 2:</w:t>
            </w:r>
            <w:r w:rsidR="0054538E" w:rsidRPr="003157E4">
              <w:rPr>
                <w:rFonts w:ascii="Arial" w:eastAsia="Times New Roman" w:hAnsi="Arial" w:cs="Arial"/>
                <w:i/>
                <w:iCs/>
                <w:color w:val="auto"/>
                <w:sz w:val="20"/>
                <w:szCs w:val="20"/>
              </w:rPr>
              <w:t xml:space="preserve"> </w:t>
            </w:r>
            <w:r w:rsidRPr="003157E4">
              <w:rPr>
                <w:rFonts w:ascii="Arial" w:eastAsia="Times New Roman" w:hAnsi="Arial" w:cs="Arial"/>
                <w:i/>
                <w:iCs/>
                <w:color w:val="auto"/>
                <w:sz w:val="20"/>
                <w:szCs w:val="20"/>
              </w:rPr>
              <w:t>Civil society partnerships (lead grant partner and CSO implementing partners) and relevant public sector counterparts engage in collaborative social accountability processes that include citizens.</w:t>
            </w:r>
          </w:p>
        </w:tc>
        <w:tc>
          <w:tcPr>
            <w:tcW w:w="3307" w:type="pct"/>
            <w:tcMar>
              <w:top w:w="100" w:type="dxa"/>
              <w:left w:w="108" w:type="dxa"/>
              <w:bottom w:w="100" w:type="dxa"/>
              <w:right w:w="108" w:type="dxa"/>
            </w:tcMar>
          </w:tcPr>
          <w:p w14:paraId="49BA4079" w14:textId="18EC9D59" w:rsidR="00140923" w:rsidRPr="003157E4" w:rsidRDefault="00EF3585" w:rsidP="00874BAF">
            <w:pPr>
              <w:pStyle w:val="Normal1"/>
              <w:spacing w:before="120" w:after="120"/>
              <w:ind w:left="90" w:right="-90"/>
              <w:contextualSpacing w:val="0"/>
              <w:rPr>
                <w:rFonts w:ascii="Arial" w:eastAsia="Times New Roman" w:hAnsi="Arial" w:cs="Arial"/>
                <w:color w:val="auto"/>
                <w:sz w:val="20"/>
                <w:szCs w:val="20"/>
              </w:rPr>
            </w:pPr>
            <w:r>
              <w:rPr>
                <w:rFonts w:ascii="Arial" w:eastAsiaTheme="majorEastAsia" w:hAnsi="Arial" w:cs="Arial"/>
                <w:color w:val="auto"/>
                <w:sz w:val="20"/>
                <w:szCs w:val="20"/>
              </w:rPr>
              <w:t xml:space="preserve">2) </w:t>
            </w:r>
            <w:r w:rsidR="00140923" w:rsidRPr="003157E4">
              <w:rPr>
                <w:rFonts w:ascii="Arial" w:eastAsiaTheme="majorEastAsia" w:hAnsi="Arial" w:cs="Arial"/>
                <w:color w:val="auto"/>
                <w:sz w:val="20"/>
                <w:szCs w:val="20"/>
              </w:rPr>
              <w:t xml:space="preserve">Percentage of GPSA </w:t>
            </w:r>
            <w:r w:rsidR="00140923" w:rsidRPr="003157E4">
              <w:rPr>
                <w:rFonts w:ascii="Arial" w:eastAsia="Times New Roman" w:hAnsi="Arial" w:cs="Arial"/>
                <w:color w:val="auto"/>
                <w:sz w:val="20"/>
                <w:szCs w:val="20"/>
              </w:rPr>
              <w:t>grants in which civil society partnerships and relevant, targeted public sector counterparts engage in collaborative social accountability processes that include citizens.</w:t>
            </w:r>
          </w:p>
          <w:p w14:paraId="09484012" w14:textId="77777777" w:rsidR="00140923" w:rsidRPr="003157E4" w:rsidRDefault="00140923" w:rsidP="00874BAF">
            <w:pPr>
              <w:pStyle w:val="Normal1"/>
              <w:spacing w:before="120" w:after="120"/>
              <w:ind w:left="90" w:right="-90"/>
              <w:contextualSpacing w:val="0"/>
              <w:rPr>
                <w:rFonts w:ascii="Arial" w:eastAsia="Times New Roman" w:hAnsi="Arial" w:cs="Arial"/>
                <w:color w:val="auto"/>
                <w:sz w:val="20"/>
                <w:szCs w:val="20"/>
              </w:rPr>
            </w:pPr>
          </w:p>
        </w:tc>
      </w:tr>
      <w:tr w:rsidR="00140923" w:rsidRPr="003157E4" w14:paraId="2991A91B" w14:textId="77777777" w:rsidTr="009A5FDC">
        <w:trPr>
          <w:trHeight w:val="1659"/>
        </w:trPr>
        <w:tc>
          <w:tcPr>
            <w:tcW w:w="1693" w:type="pct"/>
            <w:tcMar>
              <w:top w:w="100" w:type="dxa"/>
              <w:left w:w="108" w:type="dxa"/>
              <w:bottom w:w="100" w:type="dxa"/>
              <w:right w:w="108" w:type="dxa"/>
            </w:tcMar>
          </w:tcPr>
          <w:p w14:paraId="6A7BA05F" w14:textId="73CB083B" w:rsidR="00140923" w:rsidRPr="003157E4" w:rsidRDefault="00140923" w:rsidP="0054538E">
            <w:pPr>
              <w:pStyle w:val="Normal1"/>
              <w:spacing w:before="120" w:after="120"/>
              <w:ind w:left="90" w:right="-90"/>
              <w:contextualSpacing w:val="0"/>
              <w:rPr>
                <w:rFonts w:ascii="Arial" w:eastAsia="Times New Roman" w:hAnsi="Arial" w:cs="Arial"/>
                <w:i/>
                <w:iCs/>
                <w:color w:val="auto"/>
                <w:sz w:val="20"/>
                <w:szCs w:val="20"/>
              </w:rPr>
            </w:pPr>
            <w:r w:rsidRPr="003157E4">
              <w:rPr>
                <w:rFonts w:ascii="Arial" w:eastAsia="Times New Roman" w:hAnsi="Arial" w:cs="Arial"/>
                <w:i/>
                <w:iCs/>
                <w:color w:val="auto"/>
                <w:sz w:val="20"/>
                <w:szCs w:val="20"/>
              </w:rPr>
              <w:t>Outcome 3:</w:t>
            </w:r>
            <w:r w:rsidR="0054538E" w:rsidRPr="003157E4">
              <w:rPr>
                <w:rFonts w:ascii="Arial" w:eastAsia="Times New Roman" w:hAnsi="Arial" w:cs="Arial"/>
                <w:i/>
                <w:iCs/>
                <w:color w:val="auto"/>
                <w:sz w:val="20"/>
                <w:szCs w:val="20"/>
              </w:rPr>
              <w:t xml:space="preserve"> </w:t>
            </w:r>
            <w:r w:rsidRPr="003157E4">
              <w:rPr>
                <w:rFonts w:ascii="Arial" w:eastAsia="Times New Roman" w:hAnsi="Arial" w:cs="Arial"/>
                <w:i/>
                <w:iCs/>
                <w:color w:val="auto"/>
                <w:sz w:val="20"/>
                <w:szCs w:val="20"/>
              </w:rPr>
              <w:t xml:space="preserve">Collaborative social accountability processes </w:t>
            </w:r>
            <w:proofErr w:type="gramStart"/>
            <w:r w:rsidRPr="003157E4">
              <w:rPr>
                <w:rFonts w:ascii="Arial" w:eastAsia="Times New Roman" w:hAnsi="Arial" w:cs="Arial"/>
                <w:i/>
                <w:iCs/>
                <w:color w:val="auto"/>
                <w:sz w:val="20"/>
                <w:szCs w:val="20"/>
              </w:rPr>
              <w:t>are used</w:t>
            </w:r>
            <w:proofErr w:type="gramEnd"/>
            <w:r w:rsidRPr="003157E4">
              <w:rPr>
                <w:rFonts w:ascii="Arial" w:eastAsia="Times New Roman" w:hAnsi="Arial" w:cs="Arial"/>
                <w:i/>
                <w:iCs/>
                <w:color w:val="auto"/>
                <w:sz w:val="20"/>
                <w:szCs w:val="20"/>
              </w:rPr>
              <w:t xml:space="preserve"> to </w:t>
            </w:r>
            <w:r w:rsidRPr="003157E4">
              <w:rPr>
                <w:rFonts w:ascii="Arial" w:eastAsiaTheme="majorEastAsia" w:hAnsi="Arial" w:cs="Arial"/>
                <w:i/>
                <w:iCs/>
                <w:color w:val="auto"/>
                <w:sz w:val="20"/>
                <w:szCs w:val="20"/>
              </w:rPr>
              <w:t xml:space="preserve">target proximate causes of service delivery failure to improve </w:t>
            </w:r>
            <w:r w:rsidRPr="003157E4">
              <w:rPr>
                <w:rFonts w:ascii="Arial" w:eastAsia="Times New Roman" w:hAnsi="Arial" w:cs="Arial"/>
                <w:i/>
                <w:iCs/>
                <w:color w:val="auto"/>
                <w:sz w:val="20"/>
                <w:szCs w:val="20"/>
              </w:rPr>
              <w:t>targeted service delivery.</w:t>
            </w:r>
          </w:p>
        </w:tc>
        <w:tc>
          <w:tcPr>
            <w:tcW w:w="3307" w:type="pct"/>
            <w:tcMar>
              <w:top w:w="100" w:type="dxa"/>
              <w:left w:w="108" w:type="dxa"/>
              <w:bottom w:w="100" w:type="dxa"/>
              <w:right w:w="108" w:type="dxa"/>
            </w:tcMar>
          </w:tcPr>
          <w:p w14:paraId="1422B844" w14:textId="2E8C55B9" w:rsidR="00140923" w:rsidRPr="003157E4" w:rsidRDefault="00EF3585" w:rsidP="0054538E">
            <w:pPr>
              <w:pStyle w:val="Normal1"/>
              <w:spacing w:before="120" w:after="120"/>
              <w:ind w:left="90" w:right="-90"/>
              <w:contextualSpacing w:val="0"/>
              <w:rPr>
                <w:rFonts w:ascii="Arial" w:eastAsia="Times New Roman" w:hAnsi="Arial" w:cs="Arial"/>
                <w:color w:val="auto"/>
                <w:sz w:val="20"/>
                <w:szCs w:val="20"/>
              </w:rPr>
            </w:pPr>
            <w:r>
              <w:rPr>
                <w:rFonts w:ascii="Arial" w:eastAsia="Times New Roman" w:hAnsi="Arial" w:cs="Arial"/>
                <w:color w:val="auto"/>
                <w:sz w:val="20"/>
                <w:szCs w:val="20"/>
              </w:rPr>
              <w:t xml:space="preserve">3) </w:t>
            </w:r>
            <w:r w:rsidR="00140923" w:rsidRPr="003157E4">
              <w:rPr>
                <w:rFonts w:ascii="Arial" w:eastAsia="Times New Roman" w:hAnsi="Arial" w:cs="Arial"/>
                <w:color w:val="auto"/>
                <w:sz w:val="20"/>
                <w:szCs w:val="20"/>
              </w:rPr>
              <w:t xml:space="preserve">Percentage of GPSA grants in which collaborative social accountability </w:t>
            </w:r>
            <w:r w:rsidR="00140923" w:rsidRPr="003157E4">
              <w:rPr>
                <w:rFonts w:ascii="Arial" w:eastAsiaTheme="majorEastAsia" w:hAnsi="Arial" w:cs="Arial"/>
                <w:color w:val="auto"/>
                <w:sz w:val="20"/>
                <w:szCs w:val="20"/>
              </w:rPr>
              <w:t xml:space="preserve">processes targeted </w:t>
            </w:r>
            <w:r w:rsidR="00140923" w:rsidRPr="003157E4">
              <w:rPr>
                <w:rFonts w:ascii="Arial" w:eastAsia="Times New Roman" w:hAnsi="Arial" w:cs="Arial"/>
                <w:color w:val="auto"/>
                <w:sz w:val="20"/>
                <w:szCs w:val="20"/>
              </w:rPr>
              <w:t xml:space="preserve">the proximate cause of service delivery failure. </w:t>
            </w:r>
          </w:p>
        </w:tc>
      </w:tr>
      <w:tr w:rsidR="00140923" w:rsidRPr="003157E4" w14:paraId="1319F8F2" w14:textId="77777777" w:rsidTr="009A5FDC">
        <w:tc>
          <w:tcPr>
            <w:tcW w:w="1693" w:type="pct"/>
            <w:tcMar>
              <w:top w:w="100" w:type="dxa"/>
              <w:left w:w="108" w:type="dxa"/>
              <w:bottom w:w="100" w:type="dxa"/>
              <w:right w:w="108" w:type="dxa"/>
            </w:tcMar>
          </w:tcPr>
          <w:p w14:paraId="33D75198" w14:textId="6051C473" w:rsidR="00140923" w:rsidRPr="003157E4" w:rsidRDefault="00140923" w:rsidP="0054538E">
            <w:pPr>
              <w:pStyle w:val="Normal1"/>
              <w:spacing w:before="120" w:after="120"/>
              <w:ind w:left="90" w:right="-90"/>
              <w:contextualSpacing w:val="0"/>
              <w:rPr>
                <w:rFonts w:ascii="Arial" w:eastAsia="Times New Roman" w:hAnsi="Arial" w:cs="Arial"/>
                <w:i/>
                <w:iCs/>
                <w:color w:val="auto"/>
                <w:sz w:val="20"/>
                <w:szCs w:val="20"/>
              </w:rPr>
            </w:pPr>
            <w:r w:rsidRPr="003157E4">
              <w:rPr>
                <w:rFonts w:ascii="Arial" w:eastAsia="Times New Roman" w:hAnsi="Arial" w:cs="Arial"/>
                <w:i/>
                <w:iCs/>
                <w:color w:val="auto"/>
                <w:sz w:val="20"/>
                <w:szCs w:val="20"/>
              </w:rPr>
              <w:t>Outcome 4:</w:t>
            </w:r>
            <w:bookmarkStart w:id="2" w:name="_Hlk14247316"/>
            <w:r w:rsidR="0054538E" w:rsidRPr="003157E4">
              <w:rPr>
                <w:rFonts w:ascii="Arial" w:eastAsia="Times New Roman" w:hAnsi="Arial" w:cs="Arial"/>
                <w:i/>
                <w:iCs/>
                <w:color w:val="auto"/>
                <w:sz w:val="20"/>
                <w:szCs w:val="20"/>
              </w:rPr>
              <w:t xml:space="preserve"> </w:t>
            </w:r>
            <w:r w:rsidRPr="003157E4">
              <w:rPr>
                <w:rFonts w:ascii="Arial" w:eastAsia="Times New Roman" w:hAnsi="Arial" w:cs="Arial"/>
                <w:i/>
                <w:iCs/>
                <w:color w:val="auto"/>
                <w:sz w:val="20"/>
                <w:szCs w:val="20"/>
              </w:rPr>
              <w:t>Elements of collaborative social accountability processes</w:t>
            </w:r>
            <w:r w:rsidRPr="003157E4">
              <w:rPr>
                <w:rFonts w:ascii="Arial" w:eastAsia="Times New Roman" w:hAnsi="Arial" w:cs="Arial"/>
                <w:color w:val="auto"/>
                <w:sz w:val="20"/>
                <w:szCs w:val="20"/>
              </w:rPr>
              <w:t xml:space="preserve"> </w:t>
            </w:r>
            <w:proofErr w:type="gramStart"/>
            <w:r w:rsidRPr="003157E4">
              <w:rPr>
                <w:rFonts w:ascii="Arial" w:eastAsia="Times New Roman" w:hAnsi="Arial" w:cs="Arial"/>
                <w:i/>
                <w:iCs/>
                <w:color w:val="auto"/>
                <w:sz w:val="20"/>
                <w:szCs w:val="20"/>
              </w:rPr>
              <w:t>are taken</w:t>
            </w:r>
            <w:proofErr w:type="gramEnd"/>
            <w:r w:rsidRPr="003157E4">
              <w:rPr>
                <w:rFonts w:ascii="Arial" w:eastAsia="Times New Roman" w:hAnsi="Arial" w:cs="Arial"/>
                <w:i/>
                <w:iCs/>
                <w:color w:val="auto"/>
                <w:sz w:val="20"/>
                <w:szCs w:val="20"/>
              </w:rPr>
              <w:t xml:space="preserve"> up by governments beyond individual GPSA projects.</w:t>
            </w:r>
            <w:bookmarkEnd w:id="2"/>
          </w:p>
        </w:tc>
        <w:tc>
          <w:tcPr>
            <w:tcW w:w="3307" w:type="pct"/>
            <w:tcMar>
              <w:top w:w="100" w:type="dxa"/>
              <w:left w:w="108" w:type="dxa"/>
              <w:bottom w:w="100" w:type="dxa"/>
              <w:right w:w="108" w:type="dxa"/>
            </w:tcMar>
          </w:tcPr>
          <w:p w14:paraId="6661FE3F" w14:textId="77777777" w:rsidR="00140923" w:rsidRPr="003157E4" w:rsidRDefault="00140923" w:rsidP="00874BAF">
            <w:pPr>
              <w:pStyle w:val="Normal1"/>
              <w:spacing w:before="120" w:after="120"/>
              <w:ind w:left="90" w:right="-90"/>
              <w:contextualSpacing w:val="0"/>
              <w:rPr>
                <w:rFonts w:ascii="Arial" w:eastAsia="Times New Roman" w:hAnsi="Arial" w:cs="Arial"/>
                <w:color w:val="auto"/>
                <w:sz w:val="20"/>
                <w:szCs w:val="20"/>
              </w:rPr>
            </w:pPr>
            <w:bookmarkStart w:id="3" w:name="_Hlk14247397"/>
            <w:r w:rsidRPr="003157E4">
              <w:rPr>
                <w:rFonts w:ascii="Arial" w:eastAsiaTheme="majorEastAsia" w:hAnsi="Arial" w:cs="Arial"/>
                <w:color w:val="auto"/>
                <w:sz w:val="20"/>
                <w:szCs w:val="20"/>
              </w:rPr>
              <w:t xml:space="preserve">4a) Percentage of GPSA </w:t>
            </w:r>
            <w:r w:rsidRPr="003157E4">
              <w:rPr>
                <w:rFonts w:ascii="Arial" w:eastAsia="Times New Roman" w:hAnsi="Arial" w:cs="Arial"/>
                <w:color w:val="auto"/>
                <w:sz w:val="20"/>
                <w:szCs w:val="20"/>
              </w:rPr>
              <w:t>grants in which governments seek to:</w:t>
            </w:r>
          </w:p>
          <w:p w14:paraId="5863A268" w14:textId="77777777" w:rsidR="00140923" w:rsidRPr="003157E4" w:rsidRDefault="00140923" w:rsidP="00140923">
            <w:pPr>
              <w:pStyle w:val="Normal1"/>
              <w:numPr>
                <w:ilvl w:val="0"/>
                <w:numId w:val="9"/>
              </w:numPr>
              <w:spacing w:before="120" w:after="120"/>
              <w:ind w:right="-90"/>
              <w:contextualSpacing w:val="0"/>
              <w:rPr>
                <w:rFonts w:ascii="Arial" w:eastAsia="Times New Roman" w:hAnsi="Arial" w:cs="Arial"/>
                <w:color w:val="auto"/>
                <w:sz w:val="20"/>
                <w:szCs w:val="20"/>
              </w:rPr>
            </w:pPr>
            <w:r w:rsidRPr="003157E4">
              <w:rPr>
                <w:rFonts w:ascii="Arial" w:eastAsia="Calibri" w:hAnsi="Arial" w:cs="Arial"/>
                <w:color w:val="auto"/>
                <w:sz w:val="20"/>
                <w:szCs w:val="20"/>
              </w:rPr>
              <w:t>Use substantive lessons for improvements of targeted policies, processes, and mechanisms;</w:t>
            </w:r>
          </w:p>
          <w:p w14:paraId="015A62BA" w14:textId="77777777" w:rsidR="00140923" w:rsidRPr="003157E4" w:rsidRDefault="00140923" w:rsidP="00140923">
            <w:pPr>
              <w:pStyle w:val="Normal1"/>
              <w:numPr>
                <w:ilvl w:val="0"/>
                <w:numId w:val="9"/>
              </w:numPr>
              <w:spacing w:before="120" w:after="120"/>
              <w:ind w:right="-90"/>
              <w:contextualSpacing w:val="0"/>
              <w:rPr>
                <w:rFonts w:ascii="Arial" w:eastAsia="Times New Roman" w:hAnsi="Arial" w:cs="Arial"/>
                <w:color w:val="auto"/>
                <w:sz w:val="20"/>
                <w:szCs w:val="20"/>
              </w:rPr>
            </w:pPr>
            <w:r w:rsidRPr="003157E4">
              <w:rPr>
                <w:rFonts w:ascii="Arial" w:eastAsia="Times New Roman" w:hAnsi="Arial" w:cs="Arial"/>
                <w:color w:val="auto"/>
                <w:sz w:val="20"/>
                <w:szCs w:val="20"/>
              </w:rPr>
              <w:t>Sustain elements of collaborative social accountability processes after the life of the project;</w:t>
            </w:r>
          </w:p>
          <w:p w14:paraId="038A1F1D" w14:textId="77777777" w:rsidR="00140923" w:rsidRPr="003157E4" w:rsidRDefault="00140923" w:rsidP="00140923">
            <w:pPr>
              <w:pStyle w:val="Normal1"/>
              <w:numPr>
                <w:ilvl w:val="0"/>
                <w:numId w:val="9"/>
              </w:numPr>
              <w:spacing w:before="120" w:after="120"/>
              <w:ind w:right="-90"/>
              <w:contextualSpacing w:val="0"/>
              <w:rPr>
                <w:rFonts w:ascii="Arial" w:hAnsi="Arial" w:cs="Arial"/>
                <w:color w:val="auto"/>
                <w:sz w:val="20"/>
                <w:szCs w:val="20"/>
              </w:rPr>
            </w:pPr>
            <w:r w:rsidRPr="003157E4">
              <w:rPr>
                <w:rFonts w:ascii="Arial" w:eastAsia="Times New Roman" w:hAnsi="Arial" w:cs="Arial"/>
                <w:color w:val="auto"/>
                <w:sz w:val="20"/>
                <w:szCs w:val="20"/>
              </w:rPr>
              <w:t>Adapt insights from GPSA projects to scale them through programs or policies;</w:t>
            </w:r>
            <w:r w:rsidRPr="003157E4">
              <w:rPr>
                <w:rFonts w:ascii="Arial" w:hAnsi="Arial" w:cs="Arial"/>
                <w:color w:val="auto"/>
                <w:sz w:val="20"/>
                <w:szCs w:val="20"/>
              </w:rPr>
              <w:t xml:space="preserve"> or </w:t>
            </w:r>
          </w:p>
          <w:p w14:paraId="595EE321" w14:textId="150BFD10" w:rsidR="00140923" w:rsidRPr="0087610E" w:rsidRDefault="00140923" w:rsidP="0087610E">
            <w:pPr>
              <w:pStyle w:val="Normal1"/>
              <w:numPr>
                <w:ilvl w:val="0"/>
                <w:numId w:val="9"/>
              </w:numPr>
              <w:spacing w:before="120" w:after="120"/>
              <w:ind w:right="-90"/>
              <w:contextualSpacing w:val="0"/>
              <w:rPr>
                <w:rFonts w:ascii="Arial" w:eastAsia="Times New Roman" w:hAnsi="Arial" w:cs="Arial"/>
                <w:color w:val="auto"/>
                <w:sz w:val="20"/>
                <w:szCs w:val="20"/>
              </w:rPr>
            </w:pPr>
            <w:r w:rsidRPr="003157E4">
              <w:rPr>
                <w:rFonts w:ascii="Arial" w:eastAsia="Times New Roman" w:hAnsi="Arial" w:cs="Arial"/>
                <w:color w:val="auto"/>
                <w:sz w:val="20"/>
                <w:szCs w:val="20"/>
              </w:rPr>
              <w:t xml:space="preserve">Apply </w:t>
            </w:r>
            <w:r w:rsidRPr="003157E4">
              <w:rPr>
                <w:rFonts w:ascii="Arial" w:eastAsiaTheme="majorEastAsia" w:hAnsi="Arial" w:cs="Arial"/>
                <w:color w:val="auto"/>
                <w:sz w:val="20"/>
                <w:szCs w:val="20"/>
              </w:rPr>
              <w:t xml:space="preserve">elements of collaborative social accountability processes </w:t>
            </w:r>
            <w:r w:rsidRPr="003157E4">
              <w:rPr>
                <w:rFonts w:ascii="Arial" w:eastAsia="Times New Roman" w:hAnsi="Arial" w:cs="Arial"/>
                <w:color w:val="auto"/>
                <w:sz w:val="20"/>
                <w:szCs w:val="20"/>
              </w:rPr>
              <w:t>in additional localities or sectors.</w:t>
            </w:r>
          </w:p>
          <w:p w14:paraId="283C454D" w14:textId="77777777" w:rsidR="00140923" w:rsidRPr="003157E4" w:rsidRDefault="00140923" w:rsidP="00874BAF">
            <w:pPr>
              <w:pStyle w:val="Normal1"/>
              <w:spacing w:before="120" w:after="120"/>
              <w:ind w:left="90" w:right="-90"/>
              <w:contextualSpacing w:val="0"/>
              <w:rPr>
                <w:rFonts w:ascii="Arial" w:eastAsia="Times New Roman" w:hAnsi="Arial" w:cs="Arial"/>
                <w:color w:val="auto"/>
                <w:sz w:val="20"/>
                <w:szCs w:val="20"/>
              </w:rPr>
            </w:pPr>
            <w:r w:rsidRPr="003157E4">
              <w:rPr>
                <w:rFonts w:ascii="Arial" w:eastAsia="Times New Roman" w:hAnsi="Arial" w:cs="Arial"/>
                <w:color w:val="auto"/>
                <w:sz w:val="20"/>
                <w:szCs w:val="20"/>
              </w:rPr>
              <w:t>Note: this can be done through the government’s own reform program, donor-funded programs, or Bank-financed programs</w:t>
            </w:r>
            <w:proofErr w:type="gramStart"/>
            <w:r w:rsidRPr="003157E4">
              <w:rPr>
                <w:rFonts w:ascii="Arial" w:eastAsia="Times New Roman" w:hAnsi="Arial" w:cs="Arial"/>
                <w:color w:val="auto"/>
                <w:sz w:val="20"/>
                <w:szCs w:val="20"/>
              </w:rPr>
              <w:t xml:space="preserve">.  </w:t>
            </w:r>
            <w:proofErr w:type="gramEnd"/>
            <w:r w:rsidRPr="003157E4">
              <w:rPr>
                <w:rFonts w:ascii="Arial" w:eastAsia="Times New Roman" w:hAnsi="Arial" w:cs="Arial"/>
                <w:color w:val="auto"/>
                <w:sz w:val="20"/>
                <w:szCs w:val="20"/>
              </w:rPr>
              <w:t xml:space="preserve">   </w:t>
            </w:r>
          </w:p>
          <w:bookmarkEnd w:id="3"/>
          <w:p w14:paraId="21BB2FB9" w14:textId="03E74C8B" w:rsidR="0087610E" w:rsidRPr="003157E4" w:rsidRDefault="00140923" w:rsidP="0087610E">
            <w:pPr>
              <w:pStyle w:val="Normal1"/>
              <w:spacing w:before="120" w:after="120"/>
              <w:ind w:left="90" w:right="-90"/>
              <w:contextualSpacing w:val="0"/>
              <w:rPr>
                <w:rFonts w:ascii="Arial" w:hAnsi="Arial" w:cs="Arial"/>
                <w:color w:val="auto"/>
                <w:sz w:val="20"/>
                <w:szCs w:val="20"/>
              </w:rPr>
            </w:pPr>
            <w:r w:rsidRPr="003157E4">
              <w:rPr>
                <w:rFonts w:ascii="Arial" w:eastAsia="Times New Roman" w:hAnsi="Arial" w:cs="Arial"/>
                <w:color w:val="auto"/>
                <w:sz w:val="20"/>
                <w:szCs w:val="20"/>
              </w:rPr>
              <w:t>[Target: 25%]</w:t>
            </w:r>
          </w:p>
          <w:p w14:paraId="7380232E" w14:textId="59099DE0" w:rsidR="00140923" w:rsidRPr="003157E4" w:rsidRDefault="00140923" w:rsidP="00874BAF">
            <w:pPr>
              <w:pStyle w:val="Normal1"/>
              <w:spacing w:before="120" w:after="120"/>
              <w:ind w:right="-90"/>
              <w:contextualSpacing w:val="0"/>
              <w:rPr>
                <w:rFonts w:ascii="Arial" w:eastAsia="Times New Roman" w:hAnsi="Arial" w:cs="Arial"/>
                <w:color w:val="auto"/>
                <w:sz w:val="20"/>
                <w:szCs w:val="20"/>
              </w:rPr>
            </w:pPr>
            <w:r w:rsidRPr="003157E4">
              <w:rPr>
                <w:rFonts w:ascii="Arial" w:hAnsi="Arial" w:cs="Arial"/>
                <w:color w:val="auto"/>
                <w:sz w:val="20"/>
                <w:szCs w:val="20"/>
              </w:rPr>
              <w:t xml:space="preserve"> indicator is not for inclusion in project-level Results Frameworks.</w:t>
            </w:r>
          </w:p>
        </w:tc>
      </w:tr>
      <w:tr w:rsidR="00140923" w:rsidRPr="003157E4" w14:paraId="118432CD" w14:textId="77777777" w:rsidTr="009A5FDC">
        <w:tc>
          <w:tcPr>
            <w:tcW w:w="1693" w:type="pct"/>
            <w:tcMar>
              <w:top w:w="100" w:type="dxa"/>
              <w:left w:w="108" w:type="dxa"/>
              <w:bottom w:w="100" w:type="dxa"/>
              <w:right w:w="108" w:type="dxa"/>
            </w:tcMar>
          </w:tcPr>
          <w:p w14:paraId="741A7E46" w14:textId="0E124730" w:rsidR="00140923" w:rsidRPr="003157E4" w:rsidRDefault="00140923" w:rsidP="0054538E">
            <w:pPr>
              <w:pStyle w:val="Normal1"/>
              <w:spacing w:before="120" w:after="120"/>
              <w:ind w:left="90" w:right="-90"/>
              <w:contextualSpacing w:val="0"/>
              <w:rPr>
                <w:rFonts w:ascii="Arial" w:eastAsia="Times New Roman" w:hAnsi="Arial" w:cs="Arial"/>
                <w:i/>
                <w:iCs/>
                <w:color w:val="auto"/>
                <w:sz w:val="20"/>
                <w:szCs w:val="20"/>
              </w:rPr>
            </w:pPr>
            <w:r w:rsidRPr="003157E4">
              <w:rPr>
                <w:rFonts w:ascii="Arial" w:eastAsia="Times New Roman" w:hAnsi="Arial" w:cs="Arial"/>
                <w:i/>
                <w:iCs/>
                <w:color w:val="auto"/>
                <w:sz w:val="20"/>
                <w:szCs w:val="20"/>
              </w:rPr>
              <w:t xml:space="preserve">Output 1: Civil society </w:t>
            </w:r>
            <w:r w:rsidRPr="003157E4">
              <w:rPr>
                <w:rFonts w:ascii="Arial" w:eastAsiaTheme="majorEastAsia" w:hAnsi="Arial" w:cs="Arial"/>
                <w:i/>
                <w:iCs/>
                <w:color w:val="auto"/>
                <w:sz w:val="20"/>
                <w:szCs w:val="20"/>
              </w:rPr>
              <w:t xml:space="preserve">GPSA grant partners </w:t>
            </w:r>
            <w:r w:rsidRPr="003157E4">
              <w:rPr>
                <w:rFonts w:ascii="Arial" w:eastAsia="Times New Roman" w:hAnsi="Arial" w:cs="Arial"/>
                <w:i/>
                <w:iCs/>
                <w:color w:val="auto"/>
                <w:sz w:val="20"/>
                <w:szCs w:val="20"/>
              </w:rPr>
              <w:t>lead multi-stakeholder compacts.</w:t>
            </w:r>
          </w:p>
        </w:tc>
        <w:tc>
          <w:tcPr>
            <w:tcW w:w="3307" w:type="pct"/>
            <w:tcMar>
              <w:top w:w="100" w:type="dxa"/>
              <w:left w:w="108" w:type="dxa"/>
              <w:bottom w:w="100" w:type="dxa"/>
              <w:right w:w="108" w:type="dxa"/>
            </w:tcMar>
          </w:tcPr>
          <w:p w14:paraId="28E071AB" w14:textId="1599BBA9" w:rsidR="00140923" w:rsidRPr="003157E4" w:rsidRDefault="00EF3585" w:rsidP="0054538E">
            <w:pPr>
              <w:pStyle w:val="Normal1"/>
              <w:spacing w:before="120" w:after="120"/>
              <w:ind w:left="90" w:right="-90"/>
              <w:contextualSpacing w:val="0"/>
              <w:rPr>
                <w:rFonts w:ascii="Arial" w:eastAsia="Times New Roman" w:hAnsi="Arial" w:cs="Arial"/>
                <w:color w:val="auto"/>
                <w:sz w:val="20"/>
                <w:szCs w:val="20"/>
              </w:rPr>
            </w:pPr>
            <w:r>
              <w:rPr>
                <w:rFonts w:ascii="Arial" w:eastAsiaTheme="majorEastAsia" w:hAnsi="Arial" w:cs="Arial"/>
                <w:color w:val="auto"/>
                <w:sz w:val="20"/>
                <w:szCs w:val="20"/>
              </w:rPr>
              <w:t xml:space="preserve">1a) </w:t>
            </w:r>
            <w:r w:rsidR="00140923" w:rsidRPr="003157E4">
              <w:rPr>
                <w:rFonts w:ascii="Arial" w:eastAsiaTheme="majorEastAsia" w:hAnsi="Arial" w:cs="Arial"/>
                <w:color w:val="auto"/>
                <w:sz w:val="20"/>
                <w:szCs w:val="20"/>
              </w:rPr>
              <w:t xml:space="preserve">Percentage of GPSA grants with partner-led compacts with </w:t>
            </w:r>
            <w:r w:rsidR="00140923" w:rsidRPr="003157E4">
              <w:rPr>
                <w:rFonts w:ascii="Arial" w:eastAsia="Times New Roman" w:hAnsi="Arial" w:cs="Arial"/>
                <w:color w:val="auto"/>
                <w:sz w:val="20"/>
                <w:szCs w:val="20"/>
              </w:rPr>
              <w:t xml:space="preserve">involvement from at least </w:t>
            </w:r>
            <w:proofErr w:type="gramStart"/>
            <w:r w:rsidR="00140923" w:rsidRPr="003157E4">
              <w:rPr>
                <w:rFonts w:ascii="Arial" w:eastAsia="Times New Roman" w:hAnsi="Arial" w:cs="Arial"/>
                <w:color w:val="auto"/>
                <w:sz w:val="20"/>
                <w:szCs w:val="20"/>
              </w:rPr>
              <w:t>3</w:t>
            </w:r>
            <w:proofErr w:type="gramEnd"/>
            <w:r w:rsidR="00140923" w:rsidRPr="003157E4">
              <w:rPr>
                <w:rFonts w:ascii="Arial" w:eastAsia="Times New Roman" w:hAnsi="Arial" w:cs="Arial"/>
                <w:color w:val="auto"/>
                <w:sz w:val="20"/>
                <w:szCs w:val="20"/>
              </w:rPr>
              <w:t xml:space="preserve"> fit-for-purpose stakeholder groups</w:t>
            </w:r>
          </w:p>
        </w:tc>
      </w:tr>
      <w:tr w:rsidR="00140923" w:rsidRPr="003157E4" w14:paraId="0CCE2B00" w14:textId="77777777" w:rsidTr="009A5FDC">
        <w:tc>
          <w:tcPr>
            <w:tcW w:w="1693" w:type="pct"/>
            <w:tcMar>
              <w:top w:w="100" w:type="dxa"/>
              <w:left w:w="108" w:type="dxa"/>
              <w:bottom w:w="100" w:type="dxa"/>
              <w:right w:w="108" w:type="dxa"/>
            </w:tcMar>
          </w:tcPr>
          <w:p w14:paraId="4F78AAFC" w14:textId="14EC4FEE" w:rsidR="00140923" w:rsidRPr="003157E4" w:rsidRDefault="00140923" w:rsidP="0087610E">
            <w:pPr>
              <w:pStyle w:val="Normal1"/>
              <w:spacing w:before="120" w:after="120"/>
              <w:ind w:left="90" w:right="-90"/>
              <w:contextualSpacing w:val="0"/>
              <w:rPr>
                <w:rFonts w:ascii="Arial" w:eastAsia="Times New Roman" w:hAnsi="Arial" w:cs="Arial"/>
                <w:color w:val="auto"/>
                <w:sz w:val="20"/>
                <w:szCs w:val="20"/>
              </w:rPr>
            </w:pPr>
            <w:r w:rsidRPr="003157E4">
              <w:rPr>
                <w:rFonts w:ascii="Arial" w:eastAsia="Times New Roman" w:hAnsi="Arial" w:cs="Arial"/>
                <w:i/>
                <w:iCs/>
                <w:color w:val="auto"/>
                <w:sz w:val="20"/>
                <w:szCs w:val="20"/>
              </w:rPr>
              <w:t>Output 2:</w:t>
            </w:r>
            <w:r w:rsidR="0054538E" w:rsidRPr="003157E4">
              <w:rPr>
                <w:rFonts w:ascii="Arial" w:eastAsia="Times New Roman" w:hAnsi="Arial" w:cs="Arial"/>
                <w:i/>
                <w:iCs/>
                <w:color w:val="auto"/>
                <w:sz w:val="20"/>
                <w:szCs w:val="20"/>
              </w:rPr>
              <w:t xml:space="preserve"> </w:t>
            </w:r>
            <w:r w:rsidRPr="003157E4">
              <w:rPr>
                <w:rFonts w:ascii="Arial" w:eastAsia="Times New Roman" w:hAnsi="Arial" w:cs="Arial"/>
                <w:i/>
                <w:iCs/>
                <w:color w:val="auto"/>
                <w:sz w:val="20"/>
                <w:szCs w:val="20"/>
              </w:rPr>
              <w:t>Lessons from experience inform GPSA engagement.</w:t>
            </w:r>
          </w:p>
        </w:tc>
        <w:tc>
          <w:tcPr>
            <w:tcW w:w="3307" w:type="pct"/>
            <w:tcMar>
              <w:top w:w="100" w:type="dxa"/>
              <w:left w:w="108" w:type="dxa"/>
              <w:bottom w:w="100" w:type="dxa"/>
              <w:right w:w="108" w:type="dxa"/>
            </w:tcMar>
          </w:tcPr>
          <w:p w14:paraId="501215E3" w14:textId="2E6A2844" w:rsidR="00140923" w:rsidRPr="003157E4" w:rsidRDefault="00140923" w:rsidP="0054538E">
            <w:pPr>
              <w:pStyle w:val="Normal1"/>
              <w:spacing w:before="120" w:after="120"/>
              <w:ind w:left="90" w:right="-90"/>
              <w:contextualSpacing w:val="0"/>
              <w:rPr>
                <w:rFonts w:ascii="Arial" w:eastAsia="Times New Roman" w:hAnsi="Arial" w:cs="Arial"/>
                <w:color w:val="auto"/>
                <w:sz w:val="20"/>
                <w:szCs w:val="20"/>
              </w:rPr>
            </w:pPr>
            <w:r w:rsidRPr="003157E4">
              <w:rPr>
                <w:rFonts w:ascii="Arial" w:eastAsia="Times New Roman" w:hAnsi="Arial" w:cs="Arial"/>
                <w:color w:val="auto"/>
                <w:sz w:val="20"/>
                <w:szCs w:val="20"/>
              </w:rPr>
              <w:t xml:space="preserve">2a) </w:t>
            </w:r>
            <w:r w:rsidRPr="003157E4">
              <w:rPr>
                <w:rFonts w:ascii="Arial" w:eastAsiaTheme="majorEastAsia" w:hAnsi="Arial" w:cs="Arial"/>
                <w:color w:val="auto"/>
                <w:sz w:val="20"/>
                <w:szCs w:val="20"/>
              </w:rPr>
              <w:t xml:space="preserve">Percentage of </w:t>
            </w:r>
            <w:r w:rsidRPr="003157E4">
              <w:rPr>
                <w:rFonts w:ascii="Arial" w:eastAsia="Times New Roman" w:hAnsi="Arial" w:cs="Arial"/>
                <w:color w:val="auto"/>
                <w:sz w:val="20"/>
                <w:szCs w:val="20"/>
              </w:rPr>
              <w:t>GPSA of grants in which lessons learned during implementation informed course corrections.</w:t>
            </w:r>
          </w:p>
          <w:p w14:paraId="09627B7B" w14:textId="5B70270B" w:rsidR="00140923" w:rsidRPr="003157E4" w:rsidRDefault="00140923" w:rsidP="0087610E">
            <w:pPr>
              <w:pStyle w:val="Normal1"/>
              <w:spacing w:before="120" w:after="120"/>
              <w:ind w:right="-90"/>
              <w:contextualSpacing w:val="0"/>
              <w:rPr>
                <w:rFonts w:ascii="Arial" w:eastAsia="Times New Roman" w:hAnsi="Arial" w:cs="Arial"/>
                <w:color w:val="auto"/>
                <w:sz w:val="20"/>
                <w:szCs w:val="20"/>
              </w:rPr>
            </w:pPr>
          </w:p>
        </w:tc>
      </w:tr>
      <w:tr w:rsidR="00140923" w:rsidRPr="003157E4" w14:paraId="4F4CB5A4" w14:textId="77777777" w:rsidTr="009A5FDC">
        <w:tc>
          <w:tcPr>
            <w:tcW w:w="1693" w:type="pct"/>
            <w:tcMar>
              <w:top w:w="100" w:type="dxa"/>
              <w:left w:w="108" w:type="dxa"/>
              <w:bottom w:w="100" w:type="dxa"/>
              <w:right w:w="108" w:type="dxa"/>
            </w:tcMar>
          </w:tcPr>
          <w:p w14:paraId="282C782B" w14:textId="0495AD81" w:rsidR="00140923" w:rsidRPr="003157E4" w:rsidRDefault="00140923" w:rsidP="0054538E">
            <w:pPr>
              <w:pStyle w:val="Normal1"/>
              <w:spacing w:before="120" w:after="120"/>
              <w:ind w:left="90" w:right="-90"/>
              <w:contextualSpacing w:val="0"/>
              <w:rPr>
                <w:rFonts w:ascii="Arial" w:eastAsia="Times New Roman" w:hAnsi="Arial" w:cs="Arial"/>
                <w:i/>
                <w:iCs/>
                <w:color w:val="auto"/>
                <w:sz w:val="20"/>
                <w:szCs w:val="20"/>
              </w:rPr>
            </w:pPr>
            <w:r w:rsidRPr="003157E4">
              <w:rPr>
                <w:rFonts w:ascii="Arial" w:eastAsia="Times New Roman" w:hAnsi="Arial" w:cs="Arial"/>
                <w:i/>
                <w:iCs/>
                <w:color w:val="auto"/>
                <w:sz w:val="20"/>
                <w:szCs w:val="20"/>
              </w:rPr>
              <w:lastRenderedPageBreak/>
              <w:t>Output 3:</w:t>
            </w:r>
            <w:r w:rsidR="0054538E" w:rsidRPr="003157E4">
              <w:rPr>
                <w:rFonts w:ascii="Arial" w:eastAsia="Times New Roman" w:hAnsi="Arial" w:cs="Arial"/>
                <w:i/>
                <w:iCs/>
                <w:color w:val="auto"/>
                <w:sz w:val="20"/>
                <w:szCs w:val="20"/>
              </w:rPr>
              <w:t xml:space="preserve"> </w:t>
            </w:r>
            <w:r w:rsidRPr="003157E4">
              <w:rPr>
                <w:rFonts w:ascii="Arial" w:eastAsia="Times New Roman" w:hAnsi="Arial" w:cs="Arial"/>
                <w:i/>
                <w:iCs/>
                <w:color w:val="auto"/>
                <w:sz w:val="20"/>
                <w:szCs w:val="20"/>
              </w:rPr>
              <w:t>World Bank sector teams support meaningful engagement between civil society and government.</w:t>
            </w:r>
          </w:p>
        </w:tc>
        <w:tc>
          <w:tcPr>
            <w:tcW w:w="3307" w:type="pct"/>
            <w:tcMar>
              <w:top w:w="100" w:type="dxa"/>
              <w:left w:w="108" w:type="dxa"/>
              <w:bottom w:w="100" w:type="dxa"/>
              <w:right w:w="108" w:type="dxa"/>
            </w:tcMar>
          </w:tcPr>
          <w:p w14:paraId="60977CBC" w14:textId="737E6D5D" w:rsidR="00140923" w:rsidRPr="003157E4" w:rsidRDefault="00EF3585" w:rsidP="0054538E">
            <w:pPr>
              <w:pStyle w:val="Normal1"/>
              <w:spacing w:before="120" w:after="120"/>
              <w:ind w:left="90" w:right="-90"/>
              <w:contextualSpacing w:val="0"/>
              <w:rPr>
                <w:rFonts w:ascii="Arial" w:eastAsia="Times New Roman" w:hAnsi="Arial" w:cs="Arial"/>
                <w:color w:val="auto"/>
                <w:sz w:val="20"/>
                <w:szCs w:val="20"/>
              </w:rPr>
            </w:pPr>
            <w:r>
              <w:rPr>
                <w:rFonts w:ascii="Arial" w:eastAsia="Times New Roman" w:hAnsi="Arial" w:cs="Arial"/>
                <w:color w:val="auto"/>
                <w:sz w:val="20"/>
                <w:szCs w:val="20"/>
              </w:rPr>
              <w:t xml:space="preserve">3) </w:t>
            </w:r>
            <w:r w:rsidR="00140923" w:rsidRPr="003157E4">
              <w:rPr>
                <w:rFonts w:ascii="Arial" w:eastAsia="Times New Roman" w:hAnsi="Arial" w:cs="Arial"/>
                <w:color w:val="auto"/>
                <w:sz w:val="20"/>
                <w:szCs w:val="20"/>
              </w:rPr>
              <w:t>Number of grants for which World Bank sector teams supported engagement between civil society and government</w:t>
            </w:r>
            <w:r>
              <w:rPr>
                <w:rFonts w:ascii="Arial" w:eastAsia="Times New Roman" w:hAnsi="Arial" w:cs="Arial"/>
                <w:color w:val="auto"/>
                <w:sz w:val="20"/>
                <w:szCs w:val="20"/>
              </w:rPr>
              <w:t>.</w:t>
            </w:r>
          </w:p>
        </w:tc>
      </w:tr>
      <w:bookmarkEnd w:id="1"/>
    </w:tbl>
    <w:p w14:paraId="4CE12187" w14:textId="4D85E1B9" w:rsidR="00140923" w:rsidRDefault="00140923" w:rsidP="0054538E">
      <w:p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p>
    <w:p w14:paraId="0FB49CDF" w14:textId="77777777" w:rsidR="000616BB" w:rsidRDefault="006260DB" w:rsidP="0054538E">
      <w:pPr>
        <w:tabs>
          <w:tab w:val="left" w:pos="810"/>
        </w:tabs>
        <w:autoSpaceDE w:val="0"/>
        <w:autoSpaceDN w:val="0"/>
        <w:adjustRightInd w:val="0"/>
        <w:spacing w:before="120" w:after="120" w:line="240" w:lineRule="auto"/>
        <w:ind w:right="-90"/>
        <w:jc w:val="both"/>
        <w:rPr>
          <w:rFonts w:ascii="Arial" w:eastAsia="Times New Roman" w:hAnsi="Arial" w:cs="Arial"/>
          <w:b/>
          <w:bCs/>
          <w:sz w:val="20"/>
          <w:szCs w:val="20"/>
        </w:rPr>
      </w:pPr>
      <w:r>
        <w:rPr>
          <w:rFonts w:ascii="Arial" w:eastAsia="Times New Roman" w:hAnsi="Arial" w:cs="Arial"/>
          <w:b/>
          <w:bCs/>
          <w:sz w:val="20"/>
          <w:szCs w:val="20"/>
        </w:rPr>
        <w:t xml:space="preserve">2.3 </w:t>
      </w:r>
      <w:r w:rsidR="003A28E0" w:rsidRPr="006260DB">
        <w:rPr>
          <w:rFonts w:ascii="Arial" w:eastAsia="Times New Roman" w:hAnsi="Arial" w:cs="Arial"/>
          <w:b/>
          <w:bCs/>
          <w:sz w:val="20"/>
          <w:szCs w:val="20"/>
        </w:rPr>
        <w:t>Sample</w:t>
      </w:r>
      <w:r w:rsidRPr="006260DB">
        <w:rPr>
          <w:rFonts w:ascii="Arial" w:eastAsia="Times New Roman" w:hAnsi="Arial" w:cs="Arial"/>
          <w:b/>
          <w:bCs/>
          <w:sz w:val="20"/>
          <w:szCs w:val="20"/>
        </w:rPr>
        <w:t xml:space="preserve"> and selection process</w:t>
      </w:r>
    </w:p>
    <w:p w14:paraId="423CCF0B" w14:textId="34BF8D59" w:rsidR="00983B53" w:rsidRDefault="00983B53" w:rsidP="0054538E">
      <w:p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t xml:space="preserve">There </w:t>
      </w:r>
      <w:r w:rsidR="00FA5D7E">
        <w:rPr>
          <w:rFonts w:ascii="Arial" w:eastAsia="Times New Roman" w:hAnsi="Arial" w:cs="Arial"/>
          <w:sz w:val="20"/>
          <w:szCs w:val="20"/>
        </w:rPr>
        <w:t>has</w:t>
      </w:r>
      <w:r>
        <w:rPr>
          <w:rFonts w:ascii="Arial" w:eastAsia="Times New Roman" w:hAnsi="Arial" w:cs="Arial"/>
          <w:sz w:val="20"/>
          <w:szCs w:val="20"/>
        </w:rPr>
        <w:t xml:space="preserve"> been a total of 35</w:t>
      </w:r>
      <w:r w:rsidR="003A7305">
        <w:rPr>
          <w:rFonts w:ascii="Arial" w:eastAsia="Times New Roman" w:hAnsi="Arial" w:cs="Arial"/>
          <w:sz w:val="20"/>
          <w:szCs w:val="20"/>
        </w:rPr>
        <w:t xml:space="preserve"> grant partner</w:t>
      </w:r>
      <w:r>
        <w:rPr>
          <w:rFonts w:ascii="Arial" w:eastAsia="Times New Roman" w:hAnsi="Arial" w:cs="Arial"/>
          <w:sz w:val="20"/>
          <w:szCs w:val="20"/>
        </w:rPr>
        <w:t xml:space="preserve"> projects funded by the GPSA across the four calls for proposals since 2013 at the time of designing this retroactive coding exercise. However not all the projects were included in the sample </w:t>
      </w:r>
      <w:r w:rsidR="006E6B0A">
        <w:rPr>
          <w:rFonts w:ascii="Arial" w:eastAsia="Times New Roman" w:hAnsi="Arial" w:cs="Arial"/>
          <w:sz w:val="20"/>
          <w:szCs w:val="20"/>
        </w:rPr>
        <w:t>due to</w:t>
      </w:r>
      <w:r>
        <w:rPr>
          <w:rFonts w:ascii="Arial" w:eastAsia="Times New Roman" w:hAnsi="Arial" w:cs="Arial"/>
          <w:sz w:val="20"/>
          <w:szCs w:val="20"/>
        </w:rPr>
        <w:t xml:space="preserve"> two key reasons:</w:t>
      </w:r>
    </w:p>
    <w:p w14:paraId="55E15ED3" w14:textId="3308431F" w:rsidR="00983B53" w:rsidRDefault="00983B53" w:rsidP="00983B53">
      <w:pPr>
        <w:pStyle w:val="ListParagraph"/>
        <w:numPr>
          <w:ilvl w:val="0"/>
          <w:numId w:val="13"/>
        </w:num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t xml:space="preserve">The available secondary documentary evidence from each project. To enable coding against the coding frame of the MERL guide for each indicator, especially relying on only secondary data, there needs to be a minimum amount of documents across each project life (grant </w:t>
      </w:r>
      <w:r w:rsidR="00AD7E8A">
        <w:rPr>
          <w:rFonts w:ascii="Arial" w:eastAsia="Times New Roman" w:hAnsi="Arial" w:cs="Arial"/>
          <w:sz w:val="20"/>
          <w:szCs w:val="20"/>
        </w:rPr>
        <w:t xml:space="preserve">partner </w:t>
      </w:r>
      <w:r>
        <w:rPr>
          <w:rFonts w:ascii="Arial" w:eastAsia="Times New Roman" w:hAnsi="Arial" w:cs="Arial"/>
          <w:sz w:val="20"/>
          <w:szCs w:val="20"/>
        </w:rPr>
        <w:t xml:space="preserve">reports, </w:t>
      </w:r>
      <w:r w:rsidR="00AD7E8A">
        <w:rPr>
          <w:rFonts w:ascii="Arial" w:eastAsia="Times New Roman" w:hAnsi="Arial" w:cs="Arial"/>
          <w:sz w:val="20"/>
          <w:szCs w:val="20"/>
        </w:rPr>
        <w:t xml:space="preserve">learning documents, analyses, </w:t>
      </w:r>
      <w:r>
        <w:rPr>
          <w:rFonts w:ascii="Arial" w:eastAsia="Times New Roman" w:hAnsi="Arial" w:cs="Arial"/>
          <w:sz w:val="20"/>
          <w:szCs w:val="20"/>
        </w:rPr>
        <w:t>independent reviews and evaluations and the World Bank I</w:t>
      </w:r>
      <w:r w:rsidR="00C60978">
        <w:rPr>
          <w:rFonts w:ascii="Arial" w:eastAsia="Times New Roman" w:hAnsi="Arial" w:cs="Arial"/>
          <w:sz w:val="20"/>
          <w:szCs w:val="20"/>
        </w:rPr>
        <w:t xml:space="preserve">mplementation </w:t>
      </w:r>
      <w:r>
        <w:rPr>
          <w:rFonts w:ascii="Arial" w:eastAsia="Times New Roman" w:hAnsi="Arial" w:cs="Arial"/>
          <w:sz w:val="20"/>
          <w:szCs w:val="20"/>
        </w:rPr>
        <w:t>S</w:t>
      </w:r>
      <w:r w:rsidR="00C60978">
        <w:rPr>
          <w:rFonts w:ascii="Arial" w:eastAsia="Times New Roman" w:hAnsi="Arial" w:cs="Arial"/>
          <w:sz w:val="20"/>
          <w:szCs w:val="20"/>
        </w:rPr>
        <w:t>tatus and Results Reports (ISR)</w:t>
      </w:r>
      <w:r>
        <w:rPr>
          <w:rFonts w:ascii="Arial" w:eastAsia="Times New Roman" w:hAnsi="Arial" w:cs="Arial"/>
          <w:sz w:val="20"/>
          <w:szCs w:val="20"/>
        </w:rPr>
        <w:t xml:space="preserve"> and </w:t>
      </w:r>
      <w:r w:rsidR="00C60978">
        <w:rPr>
          <w:rFonts w:ascii="Arial" w:eastAsia="Times New Roman" w:hAnsi="Arial" w:cs="Arial"/>
          <w:sz w:val="20"/>
          <w:szCs w:val="20"/>
        </w:rPr>
        <w:t>Implementation Completion and Results Reports (ICR)</w:t>
      </w:r>
      <w:r>
        <w:rPr>
          <w:rFonts w:ascii="Arial" w:eastAsia="Times New Roman" w:hAnsi="Arial" w:cs="Arial"/>
          <w:sz w:val="20"/>
          <w:szCs w:val="20"/>
        </w:rPr>
        <w:t xml:space="preserve">). The consultant reviewed each the set of available project files to assess which ones had a minimum that would enable them to </w:t>
      </w:r>
      <w:r w:rsidR="00AD7E8A">
        <w:rPr>
          <w:rFonts w:ascii="Arial" w:eastAsia="Times New Roman" w:hAnsi="Arial" w:cs="Arial"/>
          <w:sz w:val="20"/>
          <w:szCs w:val="20"/>
        </w:rPr>
        <w:t xml:space="preserve">code the project against the GPSA Results Framework indicators that would yield reliable and useful information and to also warrant the time/budget resources involved in doing so. </w:t>
      </w:r>
      <w:proofErr w:type="gramStart"/>
      <w:r w:rsidR="00AD7E8A">
        <w:rPr>
          <w:rFonts w:ascii="Arial" w:eastAsia="Times New Roman" w:hAnsi="Arial" w:cs="Arial"/>
          <w:sz w:val="20"/>
          <w:szCs w:val="20"/>
        </w:rPr>
        <w:t>Several</w:t>
      </w:r>
      <w:proofErr w:type="gramEnd"/>
      <w:r w:rsidR="00AD7E8A">
        <w:rPr>
          <w:rFonts w:ascii="Arial" w:eastAsia="Times New Roman" w:hAnsi="Arial" w:cs="Arial"/>
          <w:sz w:val="20"/>
          <w:szCs w:val="20"/>
        </w:rPr>
        <w:t xml:space="preserve"> projects did not meet the criteria and were therefore excluded – see table below for more information.</w:t>
      </w:r>
    </w:p>
    <w:p w14:paraId="39FE932A" w14:textId="1BA7FDE9" w:rsidR="00AD7E8A" w:rsidRPr="00983B53" w:rsidRDefault="00AD7E8A" w:rsidP="00983B53">
      <w:pPr>
        <w:pStyle w:val="ListParagraph"/>
        <w:numPr>
          <w:ilvl w:val="0"/>
          <w:numId w:val="13"/>
        </w:num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proofErr w:type="gramStart"/>
      <w:r>
        <w:rPr>
          <w:rFonts w:ascii="Arial" w:eastAsia="Times New Roman" w:hAnsi="Arial" w:cs="Arial"/>
          <w:sz w:val="20"/>
          <w:szCs w:val="20"/>
        </w:rPr>
        <w:t>Several</w:t>
      </w:r>
      <w:proofErr w:type="gramEnd"/>
      <w:r>
        <w:rPr>
          <w:rFonts w:ascii="Arial" w:eastAsia="Times New Roman" w:hAnsi="Arial" w:cs="Arial"/>
          <w:sz w:val="20"/>
          <w:szCs w:val="20"/>
        </w:rPr>
        <w:t xml:space="preserve"> projects were too new into their start-up and implementation to have generated reporting or other documentation that would enable the coding to be done. In these </w:t>
      </w:r>
      <w:r w:rsidR="00772B25">
        <w:rPr>
          <w:rFonts w:ascii="Arial" w:eastAsia="Times New Roman" w:hAnsi="Arial" w:cs="Arial"/>
          <w:sz w:val="20"/>
          <w:szCs w:val="20"/>
        </w:rPr>
        <w:t>cases,</w:t>
      </w:r>
      <w:r>
        <w:rPr>
          <w:rFonts w:ascii="Arial" w:eastAsia="Times New Roman" w:hAnsi="Arial" w:cs="Arial"/>
          <w:sz w:val="20"/>
          <w:szCs w:val="20"/>
        </w:rPr>
        <w:t xml:space="preserve"> the projects </w:t>
      </w:r>
      <w:proofErr w:type="gramStart"/>
      <w:r>
        <w:rPr>
          <w:rFonts w:ascii="Arial" w:eastAsia="Times New Roman" w:hAnsi="Arial" w:cs="Arial"/>
          <w:sz w:val="20"/>
          <w:szCs w:val="20"/>
        </w:rPr>
        <w:t>were excluded</w:t>
      </w:r>
      <w:proofErr w:type="gramEnd"/>
      <w:r>
        <w:rPr>
          <w:rFonts w:ascii="Arial" w:eastAsia="Times New Roman" w:hAnsi="Arial" w:cs="Arial"/>
          <w:sz w:val="20"/>
          <w:szCs w:val="20"/>
        </w:rPr>
        <w:t xml:space="preserve"> – see table below for more information. </w:t>
      </w:r>
    </w:p>
    <w:p w14:paraId="647116DC" w14:textId="2C17219F" w:rsidR="005934EE" w:rsidRDefault="00AD7E8A" w:rsidP="0054538E">
      <w:p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t xml:space="preserve">A total of </w:t>
      </w:r>
      <w:r w:rsidRPr="00A17E48">
        <w:rPr>
          <w:rFonts w:ascii="Arial" w:eastAsia="Times New Roman" w:hAnsi="Arial" w:cs="Arial"/>
          <w:b/>
          <w:bCs/>
          <w:sz w:val="20"/>
          <w:szCs w:val="20"/>
        </w:rPr>
        <w:t>15 projects fulfilled the criteria for the coding exercise and were therefore included</w:t>
      </w:r>
      <w:r w:rsidR="00A17E48">
        <w:rPr>
          <w:rFonts w:ascii="Arial" w:eastAsia="Times New Roman" w:hAnsi="Arial" w:cs="Arial"/>
          <w:sz w:val="20"/>
          <w:szCs w:val="20"/>
        </w:rPr>
        <w:t xml:space="preserve"> in the sample.</w:t>
      </w:r>
      <w:r>
        <w:rPr>
          <w:rFonts w:ascii="Arial" w:eastAsia="Times New Roman" w:hAnsi="Arial" w:cs="Arial"/>
          <w:sz w:val="20"/>
          <w:szCs w:val="20"/>
        </w:rPr>
        <w:t xml:space="preserve"> The table below provides the details on all the included and excluded projects in the sample frame and the reasons for exclusion of 20 projects. </w:t>
      </w:r>
      <w:r w:rsidR="00772B25">
        <w:rPr>
          <w:rFonts w:ascii="Arial" w:eastAsia="Times New Roman" w:hAnsi="Arial" w:cs="Arial"/>
          <w:sz w:val="20"/>
          <w:szCs w:val="20"/>
        </w:rPr>
        <w:t>However,</w:t>
      </w:r>
      <w:r>
        <w:rPr>
          <w:rFonts w:ascii="Arial" w:eastAsia="Times New Roman" w:hAnsi="Arial" w:cs="Arial"/>
          <w:sz w:val="20"/>
          <w:szCs w:val="20"/>
        </w:rPr>
        <w:t xml:space="preserve"> it is important to consider that because </w:t>
      </w:r>
      <w:r w:rsidR="003A7305">
        <w:rPr>
          <w:rFonts w:ascii="Arial" w:eastAsia="Times New Roman" w:hAnsi="Arial" w:cs="Arial"/>
          <w:sz w:val="20"/>
          <w:szCs w:val="20"/>
        </w:rPr>
        <w:t>9</w:t>
      </w:r>
      <w:r>
        <w:rPr>
          <w:rFonts w:ascii="Arial" w:eastAsia="Times New Roman" w:hAnsi="Arial" w:cs="Arial"/>
          <w:sz w:val="20"/>
          <w:szCs w:val="20"/>
        </w:rPr>
        <w:t xml:space="preserve"> projects fall into the ‘too early into implementation’ category</w:t>
      </w:r>
      <w:r w:rsidR="003A7305">
        <w:rPr>
          <w:rFonts w:ascii="Arial" w:eastAsia="Times New Roman" w:hAnsi="Arial" w:cs="Arial"/>
          <w:sz w:val="20"/>
          <w:szCs w:val="20"/>
        </w:rPr>
        <w:t xml:space="preserve">, the total of projects that could have been </w:t>
      </w:r>
      <w:r w:rsidR="00A17E48">
        <w:rPr>
          <w:rFonts w:ascii="Arial" w:eastAsia="Times New Roman" w:hAnsi="Arial" w:cs="Arial"/>
          <w:sz w:val="20"/>
          <w:szCs w:val="20"/>
        </w:rPr>
        <w:t xml:space="preserve">possibly </w:t>
      </w:r>
      <w:r w:rsidR="003A7305">
        <w:rPr>
          <w:rFonts w:ascii="Arial" w:eastAsia="Times New Roman" w:hAnsi="Arial" w:cs="Arial"/>
          <w:sz w:val="20"/>
          <w:szCs w:val="20"/>
        </w:rPr>
        <w:t xml:space="preserve">coded falls to 26. </w:t>
      </w:r>
      <w:r w:rsidR="00772B25">
        <w:rPr>
          <w:rFonts w:ascii="Arial" w:eastAsia="Times New Roman" w:hAnsi="Arial" w:cs="Arial"/>
          <w:sz w:val="20"/>
          <w:szCs w:val="20"/>
        </w:rPr>
        <w:t>Therefore,</w:t>
      </w:r>
      <w:r w:rsidR="003A7305">
        <w:rPr>
          <w:rFonts w:ascii="Arial" w:eastAsia="Times New Roman" w:hAnsi="Arial" w:cs="Arial"/>
          <w:sz w:val="20"/>
          <w:szCs w:val="20"/>
        </w:rPr>
        <w:t xml:space="preserve"> a sample of 15 represents over half of these</w:t>
      </w:r>
      <w:r w:rsidR="00A17E48">
        <w:rPr>
          <w:rFonts w:ascii="Arial" w:eastAsia="Times New Roman" w:hAnsi="Arial" w:cs="Arial"/>
          <w:sz w:val="20"/>
          <w:szCs w:val="20"/>
        </w:rPr>
        <w:t xml:space="preserve"> projects,</w:t>
      </w:r>
      <w:r w:rsidR="003A7305">
        <w:rPr>
          <w:rFonts w:ascii="Arial" w:eastAsia="Times New Roman" w:hAnsi="Arial" w:cs="Arial"/>
          <w:sz w:val="20"/>
          <w:szCs w:val="20"/>
        </w:rPr>
        <w:t xml:space="preserve"> or 62.5%.  </w:t>
      </w:r>
    </w:p>
    <w:p w14:paraId="55F3C27A" w14:textId="5F03CE75" w:rsidR="00752179" w:rsidRDefault="00752179" w:rsidP="00752179">
      <w:pPr>
        <w:pStyle w:val="Caption"/>
        <w:keepNext/>
      </w:pPr>
      <w:r>
        <w:t xml:space="preserve">Table </w:t>
      </w:r>
      <w:fldSimple w:instr=" SEQ Table \* ARABIC ">
        <w:r w:rsidR="00C1597B">
          <w:rPr>
            <w:noProof/>
          </w:rPr>
          <w:t>2</w:t>
        </w:r>
      </w:fldSimple>
      <w:r>
        <w:t xml:space="preserve">: Sample of GPSA projects for the </w:t>
      </w:r>
      <w:r w:rsidR="003932B3">
        <w:t>retroactive</w:t>
      </w:r>
      <w:r>
        <w:t xml:space="preserve"> e coding exercise</w:t>
      </w:r>
    </w:p>
    <w:p w14:paraId="1A211EA9" w14:textId="77777777" w:rsidR="00752179" w:rsidRDefault="00752179" w:rsidP="0054538E">
      <w:p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p>
    <w:p w14:paraId="7EC6F4B4" w14:textId="5DA87C9B" w:rsidR="000616BB" w:rsidRDefault="006260DB" w:rsidP="0054538E">
      <w:pPr>
        <w:tabs>
          <w:tab w:val="left" w:pos="810"/>
        </w:tabs>
        <w:autoSpaceDE w:val="0"/>
        <w:autoSpaceDN w:val="0"/>
        <w:adjustRightInd w:val="0"/>
        <w:spacing w:before="120" w:after="120" w:line="240" w:lineRule="auto"/>
        <w:ind w:right="-90"/>
        <w:jc w:val="both"/>
        <w:rPr>
          <w:rFonts w:ascii="Arial" w:eastAsia="Times New Roman" w:hAnsi="Arial" w:cs="Arial"/>
          <w:sz w:val="20"/>
          <w:szCs w:val="20"/>
          <w:lang w:val="en-US"/>
        </w:rPr>
      </w:pPr>
      <w:r>
        <w:rPr>
          <w:rFonts w:ascii="Arial" w:eastAsia="Times New Roman" w:hAnsi="Arial" w:cs="Arial"/>
          <w:b/>
          <w:bCs/>
          <w:sz w:val="20"/>
          <w:szCs w:val="20"/>
          <w:lang w:val="en-US"/>
        </w:rPr>
        <w:t xml:space="preserve">2.4 </w:t>
      </w:r>
      <w:r w:rsidR="003A28E0" w:rsidRPr="00A17E48">
        <w:rPr>
          <w:rFonts w:ascii="Arial" w:eastAsia="Times New Roman" w:hAnsi="Arial" w:cs="Arial"/>
          <w:b/>
          <w:bCs/>
          <w:sz w:val="20"/>
          <w:szCs w:val="20"/>
          <w:lang w:val="en-US"/>
        </w:rPr>
        <w:t>Methodology</w:t>
      </w:r>
    </w:p>
    <w:p w14:paraId="5BD0301A" w14:textId="0A445453" w:rsidR="003A28E0" w:rsidRDefault="00A17E48" w:rsidP="0054538E">
      <w:pPr>
        <w:tabs>
          <w:tab w:val="left" w:pos="810"/>
        </w:tabs>
        <w:autoSpaceDE w:val="0"/>
        <w:autoSpaceDN w:val="0"/>
        <w:adjustRightInd w:val="0"/>
        <w:spacing w:before="120" w:after="120" w:line="240" w:lineRule="auto"/>
        <w:ind w:right="-90"/>
        <w:jc w:val="both"/>
        <w:rPr>
          <w:rFonts w:ascii="Arial" w:eastAsia="Times New Roman" w:hAnsi="Arial" w:cs="Arial"/>
          <w:sz w:val="20"/>
          <w:szCs w:val="20"/>
          <w:lang w:val="en-US"/>
        </w:rPr>
      </w:pPr>
      <w:r>
        <w:rPr>
          <w:rFonts w:ascii="Arial" w:eastAsia="Times New Roman" w:hAnsi="Arial" w:cs="Arial"/>
          <w:sz w:val="20"/>
          <w:szCs w:val="20"/>
          <w:lang w:val="en-US"/>
        </w:rPr>
        <w:t xml:space="preserve">The method for coding each operational indicator used the criteria and instructions in the </w:t>
      </w:r>
      <w:r w:rsidR="003A28E0">
        <w:rPr>
          <w:rFonts w:ascii="Arial" w:eastAsia="Times New Roman" w:hAnsi="Arial" w:cs="Arial"/>
          <w:sz w:val="20"/>
          <w:szCs w:val="20"/>
          <w:lang w:val="en-US"/>
        </w:rPr>
        <w:t>MERL Guide</w:t>
      </w:r>
      <w:r>
        <w:rPr>
          <w:rFonts w:ascii="Arial" w:eastAsia="Times New Roman" w:hAnsi="Arial" w:cs="Arial"/>
          <w:sz w:val="20"/>
          <w:szCs w:val="20"/>
          <w:lang w:val="en-US"/>
        </w:rPr>
        <w:t xml:space="preserve"> to the closest extent possible with the available secondary data. Due to the limitations (see below), </w:t>
      </w:r>
      <w:r w:rsidR="00043307">
        <w:rPr>
          <w:rFonts w:ascii="Arial" w:eastAsia="Times New Roman" w:hAnsi="Arial" w:cs="Arial"/>
          <w:sz w:val="20"/>
          <w:szCs w:val="20"/>
          <w:lang w:val="en-US"/>
        </w:rPr>
        <w:t>there inherent</w:t>
      </w:r>
      <w:r>
        <w:rPr>
          <w:rFonts w:ascii="Arial" w:eastAsia="Times New Roman" w:hAnsi="Arial" w:cs="Arial"/>
          <w:sz w:val="20"/>
          <w:szCs w:val="20"/>
          <w:lang w:val="en-US"/>
        </w:rPr>
        <w:t xml:space="preserve"> gaps and </w:t>
      </w:r>
      <w:r w:rsidR="00043307">
        <w:rPr>
          <w:rFonts w:ascii="Arial" w:eastAsia="Times New Roman" w:hAnsi="Arial" w:cs="Arial"/>
          <w:sz w:val="20"/>
          <w:szCs w:val="20"/>
          <w:lang w:val="en-US"/>
        </w:rPr>
        <w:t xml:space="preserve">trade-offs </w:t>
      </w:r>
      <w:r>
        <w:rPr>
          <w:rFonts w:ascii="Arial" w:eastAsia="Times New Roman" w:hAnsi="Arial" w:cs="Arial"/>
          <w:sz w:val="20"/>
          <w:szCs w:val="20"/>
          <w:lang w:val="en-US"/>
        </w:rPr>
        <w:t>made</w:t>
      </w:r>
      <w:r w:rsidR="00043307">
        <w:rPr>
          <w:rFonts w:ascii="Arial" w:eastAsia="Times New Roman" w:hAnsi="Arial" w:cs="Arial"/>
          <w:sz w:val="20"/>
          <w:szCs w:val="20"/>
          <w:lang w:val="en-US"/>
        </w:rPr>
        <w:t xml:space="preserve"> to enable the coding to work.</w:t>
      </w:r>
      <w:r>
        <w:rPr>
          <w:rFonts w:ascii="Arial" w:eastAsia="Times New Roman" w:hAnsi="Arial" w:cs="Arial"/>
          <w:sz w:val="20"/>
          <w:szCs w:val="20"/>
          <w:lang w:val="en-US"/>
        </w:rPr>
        <w:t xml:space="preserve"> </w:t>
      </w:r>
      <w:r w:rsidR="00772B25">
        <w:rPr>
          <w:rFonts w:ascii="Arial" w:eastAsia="Times New Roman" w:hAnsi="Arial" w:cs="Arial"/>
          <w:sz w:val="20"/>
          <w:szCs w:val="20"/>
          <w:lang w:val="en-US"/>
        </w:rPr>
        <w:t>However,</w:t>
      </w:r>
      <w:r>
        <w:rPr>
          <w:rFonts w:ascii="Arial" w:eastAsia="Times New Roman" w:hAnsi="Arial" w:cs="Arial"/>
          <w:sz w:val="20"/>
          <w:szCs w:val="20"/>
          <w:lang w:val="en-US"/>
        </w:rPr>
        <w:t xml:space="preserve"> the </w:t>
      </w:r>
      <w:proofErr w:type="gramStart"/>
      <w:r>
        <w:rPr>
          <w:rFonts w:ascii="Arial" w:eastAsia="Times New Roman" w:hAnsi="Arial" w:cs="Arial"/>
          <w:sz w:val="20"/>
          <w:szCs w:val="20"/>
          <w:lang w:val="en-US"/>
        </w:rPr>
        <w:t>15</w:t>
      </w:r>
      <w:proofErr w:type="gramEnd"/>
      <w:r>
        <w:rPr>
          <w:rFonts w:ascii="Arial" w:eastAsia="Times New Roman" w:hAnsi="Arial" w:cs="Arial"/>
          <w:sz w:val="20"/>
          <w:szCs w:val="20"/>
          <w:lang w:val="en-US"/>
        </w:rPr>
        <w:t xml:space="preserve"> sample projects and process provided enough </w:t>
      </w:r>
      <w:r w:rsidR="002F74B4">
        <w:rPr>
          <w:rFonts w:ascii="Arial" w:eastAsia="Times New Roman" w:hAnsi="Arial" w:cs="Arial"/>
          <w:sz w:val="20"/>
          <w:szCs w:val="20"/>
          <w:lang w:val="en-US"/>
        </w:rPr>
        <w:t>rigor</w:t>
      </w:r>
      <w:r>
        <w:rPr>
          <w:rFonts w:ascii="Arial" w:eastAsia="Times New Roman" w:hAnsi="Arial" w:cs="Arial"/>
          <w:sz w:val="20"/>
          <w:szCs w:val="20"/>
          <w:lang w:val="en-US"/>
        </w:rPr>
        <w:t xml:space="preserve"> and relevant proxy data to assign values to all the indicators for all the projects in the sample and to aggregate the data. The MERL Guide and methods for the Results Framework indicators is new and </w:t>
      </w:r>
      <w:r w:rsidR="00043307">
        <w:rPr>
          <w:rFonts w:ascii="Arial" w:eastAsia="Times New Roman" w:hAnsi="Arial" w:cs="Arial"/>
          <w:sz w:val="20"/>
          <w:szCs w:val="20"/>
          <w:lang w:val="en-US"/>
        </w:rPr>
        <w:t xml:space="preserve">are being </w:t>
      </w:r>
      <w:proofErr w:type="gramStart"/>
      <w:r>
        <w:rPr>
          <w:rFonts w:ascii="Arial" w:eastAsia="Times New Roman" w:hAnsi="Arial" w:cs="Arial"/>
          <w:sz w:val="20"/>
          <w:szCs w:val="20"/>
          <w:lang w:val="en-US"/>
        </w:rPr>
        <w:t>test</w:t>
      </w:r>
      <w:r w:rsidR="00043307">
        <w:rPr>
          <w:rFonts w:ascii="Arial" w:eastAsia="Times New Roman" w:hAnsi="Arial" w:cs="Arial"/>
          <w:sz w:val="20"/>
          <w:szCs w:val="20"/>
          <w:lang w:val="en-US"/>
        </w:rPr>
        <w:t>ed</w:t>
      </w:r>
      <w:proofErr w:type="gramEnd"/>
      <w:r>
        <w:rPr>
          <w:rFonts w:ascii="Arial" w:eastAsia="Times New Roman" w:hAnsi="Arial" w:cs="Arial"/>
          <w:sz w:val="20"/>
          <w:szCs w:val="20"/>
          <w:lang w:val="en-US"/>
        </w:rPr>
        <w:t xml:space="preserve"> and </w:t>
      </w:r>
      <w:r w:rsidR="00043307">
        <w:rPr>
          <w:rFonts w:ascii="Arial" w:eastAsia="Times New Roman" w:hAnsi="Arial" w:cs="Arial"/>
          <w:sz w:val="20"/>
          <w:szCs w:val="20"/>
          <w:lang w:val="en-US"/>
        </w:rPr>
        <w:t xml:space="preserve">therefore still a </w:t>
      </w:r>
      <w:r>
        <w:rPr>
          <w:rFonts w:ascii="Arial" w:eastAsia="Times New Roman" w:hAnsi="Arial" w:cs="Arial"/>
          <w:sz w:val="20"/>
          <w:szCs w:val="20"/>
          <w:lang w:val="en-US"/>
        </w:rPr>
        <w:t>work in progress. This retroactive coding provided a good initial ‘test</w:t>
      </w:r>
      <w:proofErr w:type="gramStart"/>
      <w:r>
        <w:rPr>
          <w:rFonts w:ascii="Arial" w:eastAsia="Times New Roman" w:hAnsi="Arial" w:cs="Arial"/>
          <w:sz w:val="20"/>
          <w:szCs w:val="20"/>
          <w:lang w:val="en-US"/>
        </w:rPr>
        <w:t>’</w:t>
      </w:r>
      <w:r w:rsidR="00043307">
        <w:rPr>
          <w:rFonts w:ascii="Arial" w:eastAsia="Times New Roman" w:hAnsi="Arial" w:cs="Arial"/>
          <w:sz w:val="20"/>
          <w:szCs w:val="20"/>
          <w:lang w:val="en-US"/>
        </w:rPr>
        <w:t>,</w:t>
      </w:r>
      <w:proofErr w:type="gramEnd"/>
      <w:r>
        <w:rPr>
          <w:rFonts w:ascii="Arial" w:eastAsia="Times New Roman" w:hAnsi="Arial" w:cs="Arial"/>
          <w:sz w:val="20"/>
          <w:szCs w:val="20"/>
          <w:lang w:val="en-US"/>
        </w:rPr>
        <w:t xml:space="preserve"> despite the limitations.</w:t>
      </w:r>
      <w:r w:rsidR="003A28E0">
        <w:rPr>
          <w:rFonts w:ascii="Arial" w:eastAsia="Times New Roman" w:hAnsi="Arial" w:cs="Arial"/>
          <w:sz w:val="20"/>
          <w:szCs w:val="20"/>
          <w:lang w:val="en-US"/>
        </w:rPr>
        <w:t xml:space="preserve"> </w:t>
      </w:r>
      <w:r w:rsidR="006260DB">
        <w:rPr>
          <w:rFonts w:ascii="Arial" w:eastAsia="Times New Roman" w:hAnsi="Arial" w:cs="Arial"/>
          <w:sz w:val="20"/>
          <w:szCs w:val="20"/>
          <w:lang w:val="en-US"/>
        </w:rPr>
        <w:t xml:space="preserve">For information on the </w:t>
      </w:r>
      <w:r w:rsidR="00043307">
        <w:rPr>
          <w:rFonts w:ascii="Arial" w:eastAsia="Times New Roman" w:hAnsi="Arial" w:cs="Arial"/>
          <w:sz w:val="20"/>
          <w:szCs w:val="20"/>
          <w:lang w:val="en-US"/>
        </w:rPr>
        <w:t xml:space="preserve">fully designed </w:t>
      </w:r>
      <w:r w:rsidR="006260DB">
        <w:rPr>
          <w:rFonts w:ascii="Arial" w:eastAsia="Times New Roman" w:hAnsi="Arial" w:cs="Arial"/>
          <w:sz w:val="20"/>
          <w:szCs w:val="20"/>
          <w:lang w:val="en-US"/>
        </w:rPr>
        <w:t>method</w:t>
      </w:r>
      <w:r w:rsidR="00043307" w:rsidRPr="00043307">
        <w:rPr>
          <w:rFonts w:ascii="Arial" w:eastAsia="Times New Roman" w:hAnsi="Arial" w:cs="Arial"/>
          <w:sz w:val="20"/>
          <w:szCs w:val="20"/>
          <w:lang w:val="en-US"/>
        </w:rPr>
        <w:t xml:space="preserve"> </w:t>
      </w:r>
      <w:r w:rsidR="00043307">
        <w:rPr>
          <w:rFonts w:ascii="Arial" w:eastAsia="Times New Roman" w:hAnsi="Arial" w:cs="Arial"/>
          <w:sz w:val="20"/>
          <w:szCs w:val="20"/>
          <w:lang w:val="en-US"/>
        </w:rPr>
        <w:t>for each indicator</w:t>
      </w:r>
      <w:r w:rsidR="006260DB">
        <w:rPr>
          <w:rFonts w:ascii="Arial" w:eastAsia="Times New Roman" w:hAnsi="Arial" w:cs="Arial"/>
          <w:sz w:val="20"/>
          <w:szCs w:val="20"/>
          <w:lang w:val="en-US"/>
        </w:rPr>
        <w:t xml:space="preserve"> </w:t>
      </w:r>
      <w:r w:rsidR="00043307">
        <w:rPr>
          <w:rFonts w:ascii="Arial" w:eastAsia="Times New Roman" w:hAnsi="Arial" w:cs="Arial"/>
          <w:sz w:val="20"/>
          <w:szCs w:val="20"/>
          <w:lang w:val="en-US"/>
        </w:rPr>
        <w:t>(as intended with primary and secondary data)</w:t>
      </w:r>
      <w:r w:rsidR="006260DB">
        <w:rPr>
          <w:rFonts w:ascii="Arial" w:eastAsia="Times New Roman" w:hAnsi="Arial" w:cs="Arial"/>
          <w:sz w:val="20"/>
          <w:szCs w:val="20"/>
          <w:lang w:val="en-US"/>
        </w:rPr>
        <w:t>, please refer to the MERL Guide.</w:t>
      </w:r>
    </w:p>
    <w:p w14:paraId="407718B5" w14:textId="44B2EFB1" w:rsidR="006260DB" w:rsidRDefault="006260DB" w:rsidP="006327FD">
      <w:pPr>
        <w:tabs>
          <w:tab w:val="left" w:pos="810"/>
        </w:tabs>
        <w:autoSpaceDE w:val="0"/>
        <w:autoSpaceDN w:val="0"/>
        <w:adjustRightInd w:val="0"/>
        <w:spacing w:before="120" w:after="120" w:line="240" w:lineRule="auto"/>
        <w:ind w:right="-90"/>
        <w:jc w:val="both"/>
        <w:rPr>
          <w:rFonts w:ascii="Arial" w:eastAsia="Times New Roman" w:hAnsi="Arial" w:cs="Arial"/>
          <w:b/>
          <w:bCs/>
          <w:sz w:val="20"/>
          <w:szCs w:val="20"/>
          <w:lang w:val="en-US"/>
        </w:rPr>
      </w:pPr>
      <w:r>
        <w:rPr>
          <w:rFonts w:ascii="Arial" w:eastAsia="Times New Roman" w:hAnsi="Arial" w:cs="Arial"/>
          <w:b/>
          <w:bCs/>
          <w:sz w:val="20"/>
          <w:szCs w:val="20"/>
          <w:lang w:val="en-US"/>
        </w:rPr>
        <w:t xml:space="preserve">2.5 </w:t>
      </w:r>
      <w:r w:rsidR="006327FD" w:rsidRPr="006260DB">
        <w:rPr>
          <w:rFonts w:ascii="Arial" w:eastAsia="Times New Roman" w:hAnsi="Arial" w:cs="Arial"/>
          <w:b/>
          <w:bCs/>
          <w:sz w:val="20"/>
          <w:szCs w:val="20"/>
          <w:lang w:val="en-US"/>
        </w:rPr>
        <w:t>Limitations</w:t>
      </w:r>
    </w:p>
    <w:p w14:paraId="6589E600" w14:textId="24E31474" w:rsidR="006327FD" w:rsidRDefault="00043307" w:rsidP="006327FD">
      <w:pPr>
        <w:tabs>
          <w:tab w:val="left" w:pos="810"/>
        </w:tabs>
        <w:autoSpaceDE w:val="0"/>
        <w:autoSpaceDN w:val="0"/>
        <w:adjustRightInd w:val="0"/>
        <w:spacing w:before="120" w:after="120" w:line="240" w:lineRule="auto"/>
        <w:ind w:right="-90"/>
        <w:jc w:val="both"/>
        <w:rPr>
          <w:rFonts w:ascii="Arial" w:eastAsia="Times New Roman" w:hAnsi="Arial" w:cs="Arial"/>
          <w:sz w:val="20"/>
          <w:szCs w:val="20"/>
          <w:lang w:val="en-US"/>
        </w:rPr>
      </w:pPr>
      <w:r>
        <w:rPr>
          <w:rFonts w:ascii="Arial" w:eastAsia="Times New Roman" w:hAnsi="Arial" w:cs="Arial"/>
          <w:b/>
          <w:bCs/>
          <w:sz w:val="20"/>
          <w:szCs w:val="20"/>
          <w:lang w:val="en-US"/>
        </w:rPr>
        <w:t>Documentation</w:t>
      </w:r>
      <w:r w:rsidR="002B2F4F">
        <w:rPr>
          <w:rFonts w:ascii="Arial" w:eastAsia="Times New Roman" w:hAnsi="Arial" w:cs="Arial"/>
          <w:b/>
          <w:bCs/>
          <w:sz w:val="20"/>
          <w:szCs w:val="20"/>
          <w:lang w:val="en-US"/>
        </w:rPr>
        <w:t xml:space="preserve"> and data quality</w:t>
      </w:r>
      <w:r>
        <w:rPr>
          <w:rFonts w:ascii="Arial" w:eastAsia="Times New Roman" w:hAnsi="Arial" w:cs="Arial"/>
          <w:sz w:val="20"/>
          <w:szCs w:val="20"/>
          <w:lang w:val="en-US"/>
        </w:rPr>
        <w:t xml:space="preserve">: </w:t>
      </w:r>
      <w:r w:rsidR="00C60978">
        <w:rPr>
          <w:rFonts w:ascii="Arial" w:eastAsia="Times New Roman" w:hAnsi="Arial" w:cs="Arial"/>
          <w:sz w:val="20"/>
          <w:szCs w:val="20"/>
          <w:lang w:val="en-US"/>
        </w:rPr>
        <w:t>The evidence available for</w:t>
      </w:r>
      <w:r w:rsidR="003D1A7B">
        <w:rPr>
          <w:rFonts w:ascii="Arial" w:eastAsia="Times New Roman" w:hAnsi="Arial" w:cs="Arial"/>
          <w:sz w:val="20"/>
          <w:szCs w:val="20"/>
          <w:lang w:val="en-US"/>
        </w:rPr>
        <w:t xml:space="preserve"> </w:t>
      </w:r>
      <w:r w:rsidR="00C60978">
        <w:rPr>
          <w:rFonts w:ascii="Arial" w:eastAsia="Times New Roman" w:hAnsi="Arial" w:cs="Arial"/>
          <w:sz w:val="20"/>
          <w:szCs w:val="20"/>
          <w:lang w:val="en-US"/>
        </w:rPr>
        <w:t>t</w:t>
      </w:r>
      <w:r w:rsidR="003D1A7B">
        <w:rPr>
          <w:rFonts w:ascii="Arial" w:eastAsia="Times New Roman" w:hAnsi="Arial" w:cs="Arial"/>
          <w:sz w:val="20"/>
          <w:szCs w:val="20"/>
          <w:lang w:val="en-US"/>
        </w:rPr>
        <w:t xml:space="preserve">he retroactive coding exercise </w:t>
      </w:r>
      <w:proofErr w:type="gramStart"/>
      <w:r w:rsidR="003D1A7B">
        <w:rPr>
          <w:rFonts w:ascii="Arial" w:eastAsia="Times New Roman" w:hAnsi="Arial" w:cs="Arial"/>
          <w:sz w:val="20"/>
          <w:szCs w:val="20"/>
          <w:lang w:val="en-US"/>
        </w:rPr>
        <w:t>was limited</w:t>
      </w:r>
      <w:proofErr w:type="gramEnd"/>
      <w:r w:rsidR="003D1A7B">
        <w:rPr>
          <w:rFonts w:ascii="Arial" w:eastAsia="Times New Roman" w:hAnsi="Arial" w:cs="Arial"/>
          <w:sz w:val="20"/>
          <w:szCs w:val="20"/>
          <w:lang w:val="en-US"/>
        </w:rPr>
        <w:t xml:space="preserve"> to the available secondary documents of each GPSA project in the sample</w:t>
      </w:r>
      <w:r w:rsidR="00C60978">
        <w:rPr>
          <w:rFonts w:ascii="Arial" w:eastAsia="Times New Roman" w:hAnsi="Arial" w:cs="Arial"/>
          <w:sz w:val="20"/>
          <w:szCs w:val="20"/>
          <w:lang w:val="en-US"/>
        </w:rPr>
        <w:t>. These</w:t>
      </w:r>
      <w:r w:rsidR="003D1A7B">
        <w:rPr>
          <w:rFonts w:ascii="Arial" w:eastAsia="Times New Roman" w:hAnsi="Arial" w:cs="Arial"/>
          <w:sz w:val="20"/>
          <w:szCs w:val="20"/>
          <w:lang w:val="en-US"/>
        </w:rPr>
        <w:t xml:space="preserve"> varied</w:t>
      </w:r>
      <w:r w:rsidR="00C60978">
        <w:rPr>
          <w:rFonts w:ascii="Arial" w:eastAsia="Times New Roman" w:hAnsi="Arial" w:cs="Arial"/>
          <w:sz w:val="20"/>
          <w:szCs w:val="20"/>
          <w:lang w:val="en-US"/>
        </w:rPr>
        <w:t xml:space="preserve"> by project</w:t>
      </w:r>
      <w:r w:rsidR="003D1A7B">
        <w:rPr>
          <w:rFonts w:ascii="Arial" w:eastAsia="Times New Roman" w:hAnsi="Arial" w:cs="Arial"/>
          <w:sz w:val="20"/>
          <w:szCs w:val="20"/>
          <w:lang w:val="en-US"/>
        </w:rPr>
        <w:t xml:space="preserve"> in terms of number of documents, type of documents and quality of documents. There were </w:t>
      </w:r>
      <w:proofErr w:type="gramStart"/>
      <w:r w:rsidR="003D1A7B">
        <w:rPr>
          <w:rFonts w:ascii="Arial" w:eastAsia="Times New Roman" w:hAnsi="Arial" w:cs="Arial"/>
          <w:sz w:val="20"/>
          <w:szCs w:val="20"/>
          <w:lang w:val="en-US"/>
        </w:rPr>
        <w:t>some</w:t>
      </w:r>
      <w:proofErr w:type="gramEnd"/>
      <w:r w:rsidR="003D1A7B">
        <w:rPr>
          <w:rFonts w:ascii="Arial" w:eastAsia="Times New Roman" w:hAnsi="Arial" w:cs="Arial"/>
          <w:sz w:val="20"/>
          <w:szCs w:val="20"/>
          <w:lang w:val="en-US"/>
        </w:rPr>
        <w:t xml:space="preserve"> projects with robust reporting across the project life and higher quality </w:t>
      </w:r>
      <w:r w:rsidR="00C60978">
        <w:rPr>
          <w:rFonts w:ascii="Arial" w:eastAsia="Times New Roman" w:hAnsi="Arial" w:cs="Arial"/>
          <w:sz w:val="20"/>
          <w:szCs w:val="20"/>
          <w:lang w:val="en-US"/>
        </w:rPr>
        <w:t>ISRs/</w:t>
      </w:r>
      <w:r w:rsidR="003D1A7B">
        <w:rPr>
          <w:rFonts w:ascii="Arial" w:eastAsia="Times New Roman" w:hAnsi="Arial" w:cs="Arial"/>
          <w:sz w:val="20"/>
          <w:szCs w:val="20"/>
          <w:lang w:val="en-US"/>
        </w:rPr>
        <w:t>ICR</w:t>
      </w:r>
      <w:r w:rsidR="00C60978">
        <w:rPr>
          <w:rFonts w:ascii="Arial" w:eastAsia="Times New Roman" w:hAnsi="Arial" w:cs="Arial"/>
          <w:sz w:val="20"/>
          <w:szCs w:val="20"/>
          <w:lang w:val="en-US"/>
        </w:rPr>
        <w:t>s</w:t>
      </w:r>
      <w:r w:rsidR="003D1A7B">
        <w:rPr>
          <w:rFonts w:ascii="Arial" w:eastAsia="Times New Roman" w:hAnsi="Arial" w:cs="Arial"/>
          <w:sz w:val="20"/>
          <w:szCs w:val="20"/>
          <w:lang w:val="en-US"/>
        </w:rPr>
        <w:t xml:space="preserve"> and independent </w:t>
      </w:r>
      <w:r w:rsidR="002F74B4">
        <w:rPr>
          <w:rFonts w:ascii="Arial" w:eastAsia="Times New Roman" w:hAnsi="Arial" w:cs="Arial"/>
          <w:sz w:val="20"/>
          <w:szCs w:val="20"/>
          <w:lang w:val="en-US"/>
        </w:rPr>
        <w:t>evaluations</w:t>
      </w:r>
      <w:r w:rsidR="003D1A7B">
        <w:rPr>
          <w:rFonts w:ascii="Arial" w:eastAsia="Times New Roman" w:hAnsi="Arial" w:cs="Arial"/>
          <w:sz w:val="20"/>
          <w:szCs w:val="20"/>
          <w:lang w:val="en-US"/>
        </w:rPr>
        <w:t xml:space="preserve"> while others had significant gaps (see section 4 for more details on data quality).</w:t>
      </w:r>
      <w:r w:rsidR="002B2F4F">
        <w:rPr>
          <w:rFonts w:ascii="Arial" w:eastAsia="Times New Roman" w:hAnsi="Arial" w:cs="Arial"/>
          <w:sz w:val="20"/>
          <w:szCs w:val="20"/>
          <w:lang w:val="en-US"/>
        </w:rPr>
        <w:t xml:space="preserve"> </w:t>
      </w:r>
      <w:r w:rsidR="00DA29D3">
        <w:rPr>
          <w:rFonts w:ascii="Arial" w:eastAsia="Times New Roman" w:hAnsi="Arial" w:cs="Arial"/>
          <w:sz w:val="20"/>
          <w:szCs w:val="20"/>
          <w:lang w:val="en-US"/>
        </w:rPr>
        <w:t>In particular,</w:t>
      </w:r>
      <w:r w:rsidR="002B2F4F">
        <w:rPr>
          <w:rFonts w:ascii="Arial" w:eastAsia="Times New Roman" w:hAnsi="Arial" w:cs="Arial"/>
          <w:sz w:val="20"/>
          <w:szCs w:val="20"/>
          <w:lang w:val="en-US"/>
        </w:rPr>
        <w:t xml:space="preserve"> the Results Frameworks reviewed in the ICRs often lacked </w:t>
      </w:r>
      <w:r w:rsidR="00DA29D3">
        <w:rPr>
          <w:rFonts w:ascii="Arial" w:eastAsia="Times New Roman" w:hAnsi="Arial" w:cs="Arial"/>
          <w:sz w:val="20"/>
          <w:szCs w:val="20"/>
          <w:lang w:val="en-US"/>
        </w:rPr>
        <w:t>the requisite qualitative narratives to substantiate and explain the scores</w:t>
      </w:r>
      <w:r w:rsidR="00DA29D3" w:rsidRPr="00833458">
        <w:rPr>
          <w:rFonts w:ascii="Arial" w:hAnsi="Arial" w:cs="Arial"/>
          <w:sz w:val="20"/>
          <w:szCs w:val="20"/>
        </w:rPr>
        <w:t xml:space="preserve">. </w:t>
      </w:r>
      <w:r w:rsidR="00DA29D3">
        <w:rPr>
          <w:rFonts w:ascii="Arial" w:hAnsi="Arial" w:cs="Arial"/>
          <w:sz w:val="20"/>
          <w:szCs w:val="20"/>
        </w:rPr>
        <w:t xml:space="preserve">For the GPSA, the quantitative indicator values in Results Framework lack meaning and rigour without the accompanying causal analysis and qualitative narrative to substantiate them. </w:t>
      </w:r>
      <w:r w:rsidR="00DA29D3">
        <w:rPr>
          <w:rFonts w:ascii="Arial" w:eastAsia="Times New Roman" w:hAnsi="Arial" w:cs="Arial"/>
          <w:sz w:val="20"/>
          <w:szCs w:val="20"/>
          <w:lang w:val="en-US"/>
        </w:rPr>
        <w:t xml:space="preserve">Furthermore, </w:t>
      </w:r>
      <w:proofErr w:type="gramStart"/>
      <w:r w:rsidR="00DA29D3">
        <w:rPr>
          <w:rFonts w:ascii="Arial" w:eastAsia="Times New Roman" w:hAnsi="Arial" w:cs="Arial"/>
          <w:sz w:val="20"/>
          <w:szCs w:val="20"/>
          <w:lang w:val="en-US"/>
        </w:rPr>
        <w:t>many</w:t>
      </w:r>
      <w:proofErr w:type="gramEnd"/>
      <w:r w:rsidR="00DA29D3">
        <w:rPr>
          <w:rFonts w:ascii="Arial" w:eastAsia="Times New Roman" w:hAnsi="Arial" w:cs="Arial"/>
          <w:sz w:val="20"/>
          <w:szCs w:val="20"/>
          <w:lang w:val="en-US"/>
        </w:rPr>
        <w:t xml:space="preserve"> </w:t>
      </w:r>
      <w:r w:rsidR="00DA29D3">
        <w:rPr>
          <w:rFonts w:ascii="Arial" w:eastAsia="Times New Roman" w:hAnsi="Arial" w:cs="Arial"/>
          <w:sz w:val="20"/>
          <w:szCs w:val="20"/>
          <w:lang w:val="en-US"/>
        </w:rPr>
        <w:lastRenderedPageBreak/>
        <w:t>evaluations reviewed did not specifically assess project Results Framework indicators, making it unfeasible to verify the indicator values provided in the ICRs.</w:t>
      </w:r>
    </w:p>
    <w:p w14:paraId="667F46DA" w14:textId="48C39926" w:rsidR="006327FD" w:rsidRDefault="00043307" w:rsidP="003D1A7B">
      <w:pPr>
        <w:tabs>
          <w:tab w:val="left" w:pos="810"/>
        </w:tabs>
        <w:autoSpaceDE w:val="0"/>
        <w:autoSpaceDN w:val="0"/>
        <w:adjustRightInd w:val="0"/>
        <w:spacing w:before="120" w:after="120" w:line="240" w:lineRule="auto"/>
        <w:ind w:right="-90"/>
        <w:jc w:val="both"/>
        <w:rPr>
          <w:rFonts w:ascii="Arial" w:eastAsia="Times New Roman" w:hAnsi="Arial" w:cs="Arial"/>
          <w:sz w:val="20"/>
          <w:szCs w:val="20"/>
          <w:lang w:val="en-US"/>
        </w:rPr>
      </w:pPr>
      <w:r w:rsidRPr="005207A9">
        <w:rPr>
          <w:rFonts w:ascii="Arial" w:eastAsia="Times New Roman" w:hAnsi="Arial" w:cs="Arial"/>
          <w:b/>
          <w:bCs/>
          <w:sz w:val="20"/>
          <w:szCs w:val="20"/>
          <w:lang w:val="en-US"/>
        </w:rPr>
        <w:t>Indicators</w:t>
      </w:r>
      <w:r>
        <w:rPr>
          <w:rFonts w:ascii="Arial" w:eastAsia="Times New Roman" w:hAnsi="Arial" w:cs="Arial"/>
          <w:sz w:val="20"/>
          <w:szCs w:val="20"/>
          <w:lang w:val="en-US"/>
        </w:rPr>
        <w:t xml:space="preserve">: </w:t>
      </w:r>
      <w:r w:rsidR="003D1A7B">
        <w:rPr>
          <w:rFonts w:ascii="Arial" w:eastAsia="Times New Roman" w:hAnsi="Arial" w:cs="Arial"/>
          <w:sz w:val="20"/>
          <w:szCs w:val="20"/>
          <w:lang w:val="en-US"/>
        </w:rPr>
        <w:t xml:space="preserve">As </w:t>
      </w:r>
      <w:proofErr w:type="gramStart"/>
      <w:r w:rsidR="003D1A7B">
        <w:rPr>
          <w:rFonts w:ascii="Arial" w:eastAsia="Times New Roman" w:hAnsi="Arial" w:cs="Arial"/>
          <w:sz w:val="20"/>
          <w:szCs w:val="20"/>
          <w:lang w:val="en-US"/>
        </w:rPr>
        <w:t>many</w:t>
      </w:r>
      <w:proofErr w:type="gramEnd"/>
      <w:r w:rsidR="003D1A7B">
        <w:rPr>
          <w:rFonts w:ascii="Arial" w:eastAsia="Times New Roman" w:hAnsi="Arial" w:cs="Arial"/>
          <w:sz w:val="20"/>
          <w:szCs w:val="20"/>
          <w:lang w:val="en-US"/>
        </w:rPr>
        <w:t xml:space="preserve"> projects in the sample were not using the </w:t>
      </w:r>
      <w:r>
        <w:rPr>
          <w:rFonts w:ascii="Arial" w:eastAsia="Times New Roman" w:hAnsi="Arial" w:cs="Arial"/>
          <w:sz w:val="20"/>
          <w:szCs w:val="20"/>
          <w:lang w:val="en-US"/>
        </w:rPr>
        <w:t>same</w:t>
      </w:r>
      <w:r w:rsidR="003D1A7B">
        <w:rPr>
          <w:rFonts w:ascii="Arial" w:eastAsia="Times New Roman" w:hAnsi="Arial" w:cs="Arial"/>
          <w:sz w:val="20"/>
          <w:szCs w:val="20"/>
          <w:lang w:val="en-US"/>
        </w:rPr>
        <w:t xml:space="preserve"> indicators in the GPSA Results Framework, the consultant did a mapping exercise to match the most relevant indicators to the GPSA ones. These </w:t>
      </w:r>
      <w:proofErr w:type="gramStart"/>
      <w:r w:rsidR="003D1A7B">
        <w:rPr>
          <w:rFonts w:ascii="Arial" w:eastAsia="Times New Roman" w:hAnsi="Arial" w:cs="Arial"/>
          <w:sz w:val="20"/>
          <w:szCs w:val="20"/>
          <w:lang w:val="en-US"/>
        </w:rPr>
        <w:t>were used</w:t>
      </w:r>
      <w:proofErr w:type="gramEnd"/>
      <w:r w:rsidR="003D1A7B">
        <w:rPr>
          <w:rFonts w:ascii="Arial" w:eastAsia="Times New Roman" w:hAnsi="Arial" w:cs="Arial"/>
          <w:sz w:val="20"/>
          <w:szCs w:val="20"/>
          <w:lang w:val="en-US"/>
        </w:rPr>
        <w:t xml:space="preserve"> to inform the GPSA coded values along with the documentary evidence reviewed. </w:t>
      </w:r>
      <w:r w:rsidR="00772B25">
        <w:rPr>
          <w:rFonts w:ascii="Arial" w:eastAsia="Times New Roman" w:hAnsi="Arial" w:cs="Arial"/>
          <w:sz w:val="20"/>
          <w:szCs w:val="20"/>
          <w:lang w:val="en-US"/>
        </w:rPr>
        <w:t>However,</w:t>
      </w:r>
      <w:r w:rsidR="003D1A7B">
        <w:rPr>
          <w:rFonts w:ascii="Arial" w:eastAsia="Times New Roman" w:hAnsi="Arial" w:cs="Arial"/>
          <w:sz w:val="20"/>
          <w:szCs w:val="20"/>
          <w:lang w:val="en-US"/>
        </w:rPr>
        <w:t xml:space="preserve"> as </w:t>
      </w:r>
      <w:r>
        <w:rPr>
          <w:rFonts w:ascii="Arial" w:eastAsia="Times New Roman" w:hAnsi="Arial" w:cs="Arial"/>
          <w:sz w:val="20"/>
          <w:szCs w:val="20"/>
          <w:lang w:val="en-US"/>
        </w:rPr>
        <w:t>the indicators</w:t>
      </w:r>
      <w:r w:rsidR="003D1A7B">
        <w:rPr>
          <w:rFonts w:ascii="Arial" w:eastAsia="Times New Roman" w:hAnsi="Arial" w:cs="Arial"/>
          <w:sz w:val="20"/>
          <w:szCs w:val="20"/>
          <w:lang w:val="en-US"/>
        </w:rPr>
        <w:t xml:space="preserve"> were not the same, units of analysis and values were not </w:t>
      </w:r>
      <w:r>
        <w:rPr>
          <w:rFonts w:ascii="Arial" w:eastAsia="Times New Roman" w:hAnsi="Arial" w:cs="Arial"/>
          <w:sz w:val="20"/>
          <w:szCs w:val="20"/>
          <w:lang w:val="en-US"/>
        </w:rPr>
        <w:t>‘</w:t>
      </w:r>
      <w:r w:rsidR="003D1A7B">
        <w:rPr>
          <w:rFonts w:ascii="Arial" w:eastAsia="Times New Roman" w:hAnsi="Arial" w:cs="Arial"/>
          <w:sz w:val="20"/>
          <w:szCs w:val="20"/>
          <w:lang w:val="en-US"/>
        </w:rPr>
        <w:t>like for like</w:t>
      </w:r>
      <w:r>
        <w:rPr>
          <w:rFonts w:ascii="Arial" w:eastAsia="Times New Roman" w:hAnsi="Arial" w:cs="Arial"/>
          <w:sz w:val="20"/>
          <w:szCs w:val="20"/>
          <w:lang w:val="en-US"/>
        </w:rPr>
        <w:t>’ when compared to the GPSA indicators (they were not functional equivalents)</w:t>
      </w:r>
      <w:r w:rsidR="003D1A7B">
        <w:rPr>
          <w:rFonts w:ascii="Arial" w:eastAsia="Times New Roman" w:hAnsi="Arial" w:cs="Arial"/>
          <w:sz w:val="20"/>
          <w:szCs w:val="20"/>
          <w:lang w:val="en-US"/>
        </w:rPr>
        <w:t xml:space="preserve">. </w:t>
      </w:r>
      <w:r w:rsidR="00772B25">
        <w:rPr>
          <w:rFonts w:ascii="Arial" w:eastAsia="Times New Roman" w:hAnsi="Arial" w:cs="Arial"/>
          <w:sz w:val="20"/>
          <w:szCs w:val="20"/>
          <w:lang w:val="en-US"/>
        </w:rPr>
        <w:t>Additionally,</w:t>
      </w:r>
      <w:r w:rsidR="003D1A7B">
        <w:rPr>
          <w:rFonts w:ascii="Arial" w:eastAsia="Times New Roman" w:hAnsi="Arial" w:cs="Arial"/>
          <w:sz w:val="20"/>
          <w:szCs w:val="20"/>
          <w:lang w:val="en-US"/>
        </w:rPr>
        <w:t xml:space="preserve"> the coder </w:t>
      </w:r>
      <w:r>
        <w:rPr>
          <w:rFonts w:ascii="Arial" w:eastAsia="Times New Roman" w:hAnsi="Arial" w:cs="Arial"/>
          <w:sz w:val="20"/>
          <w:szCs w:val="20"/>
          <w:lang w:val="en-US"/>
        </w:rPr>
        <w:t>could not</w:t>
      </w:r>
      <w:r w:rsidR="003D1A7B">
        <w:rPr>
          <w:rFonts w:ascii="Arial" w:eastAsia="Times New Roman" w:hAnsi="Arial" w:cs="Arial"/>
          <w:sz w:val="20"/>
          <w:szCs w:val="20"/>
          <w:lang w:val="en-US"/>
        </w:rPr>
        <w:t xml:space="preserve"> verify how Results Framework values in the grant partner </w:t>
      </w:r>
      <w:proofErr w:type="gramStart"/>
      <w:r w:rsidR="003D1A7B">
        <w:rPr>
          <w:rFonts w:ascii="Arial" w:eastAsia="Times New Roman" w:hAnsi="Arial" w:cs="Arial"/>
          <w:sz w:val="20"/>
          <w:szCs w:val="20"/>
          <w:lang w:val="en-US"/>
        </w:rPr>
        <w:t>final Results</w:t>
      </w:r>
      <w:proofErr w:type="gramEnd"/>
      <w:r w:rsidR="003D1A7B">
        <w:rPr>
          <w:rFonts w:ascii="Arial" w:eastAsia="Times New Roman" w:hAnsi="Arial" w:cs="Arial"/>
          <w:sz w:val="20"/>
          <w:szCs w:val="20"/>
          <w:lang w:val="en-US"/>
        </w:rPr>
        <w:t xml:space="preserve"> Framework scores (</w:t>
      </w:r>
      <w:r>
        <w:rPr>
          <w:rFonts w:ascii="Arial" w:eastAsia="Times New Roman" w:hAnsi="Arial" w:cs="Arial"/>
          <w:sz w:val="20"/>
          <w:szCs w:val="20"/>
          <w:lang w:val="en-US"/>
        </w:rPr>
        <w:t xml:space="preserve">as </w:t>
      </w:r>
      <w:r w:rsidR="003D1A7B">
        <w:rPr>
          <w:rFonts w:ascii="Arial" w:eastAsia="Times New Roman" w:hAnsi="Arial" w:cs="Arial"/>
          <w:sz w:val="20"/>
          <w:szCs w:val="20"/>
          <w:lang w:val="en-US"/>
        </w:rPr>
        <w:t>shown in the ICR) were calculated</w:t>
      </w:r>
      <w:r>
        <w:rPr>
          <w:rFonts w:ascii="Arial" w:eastAsia="Times New Roman" w:hAnsi="Arial" w:cs="Arial"/>
          <w:sz w:val="20"/>
          <w:szCs w:val="20"/>
          <w:lang w:val="en-US"/>
        </w:rPr>
        <w:t>.</w:t>
      </w:r>
      <w:r w:rsidR="003D1A7B">
        <w:rPr>
          <w:rFonts w:ascii="Arial" w:eastAsia="Times New Roman" w:hAnsi="Arial" w:cs="Arial"/>
          <w:sz w:val="20"/>
          <w:szCs w:val="20"/>
          <w:lang w:val="en-US"/>
        </w:rPr>
        <w:t xml:space="preserve">  </w:t>
      </w:r>
      <w:r>
        <w:rPr>
          <w:rFonts w:ascii="Arial" w:eastAsia="Times New Roman" w:hAnsi="Arial" w:cs="Arial"/>
          <w:sz w:val="20"/>
          <w:szCs w:val="20"/>
          <w:lang w:val="en-US"/>
        </w:rPr>
        <w:t>In many cases,</w:t>
      </w:r>
      <w:r w:rsidR="003D1A7B">
        <w:rPr>
          <w:rFonts w:ascii="Arial" w:eastAsia="Times New Roman" w:hAnsi="Arial" w:cs="Arial"/>
          <w:sz w:val="20"/>
          <w:szCs w:val="20"/>
          <w:lang w:val="en-US"/>
        </w:rPr>
        <w:t xml:space="preserve"> the qualitative </w:t>
      </w:r>
      <w:r>
        <w:rPr>
          <w:rFonts w:ascii="Arial" w:eastAsia="Times New Roman" w:hAnsi="Arial" w:cs="Arial"/>
          <w:sz w:val="20"/>
          <w:szCs w:val="20"/>
          <w:lang w:val="en-US"/>
        </w:rPr>
        <w:t xml:space="preserve">sections </w:t>
      </w:r>
      <w:r w:rsidR="003D1A7B">
        <w:rPr>
          <w:rFonts w:ascii="Arial" w:eastAsia="Times New Roman" w:hAnsi="Arial" w:cs="Arial"/>
          <w:sz w:val="20"/>
          <w:szCs w:val="20"/>
          <w:lang w:val="en-US"/>
        </w:rPr>
        <w:t>of the Results Framework ICR w</w:t>
      </w:r>
      <w:r>
        <w:rPr>
          <w:rFonts w:ascii="Arial" w:eastAsia="Times New Roman" w:hAnsi="Arial" w:cs="Arial"/>
          <w:sz w:val="20"/>
          <w:szCs w:val="20"/>
          <w:lang w:val="en-US"/>
        </w:rPr>
        <w:t>ere</w:t>
      </w:r>
      <w:r w:rsidR="003D1A7B">
        <w:rPr>
          <w:rFonts w:ascii="Arial" w:eastAsia="Times New Roman" w:hAnsi="Arial" w:cs="Arial"/>
          <w:sz w:val="20"/>
          <w:szCs w:val="20"/>
          <w:lang w:val="en-US"/>
        </w:rPr>
        <w:t xml:space="preserve"> missing significant details to draw any substantial </w:t>
      </w:r>
      <w:r w:rsidR="002F74B4">
        <w:rPr>
          <w:rFonts w:ascii="Arial" w:eastAsia="Times New Roman" w:hAnsi="Arial" w:cs="Arial"/>
          <w:sz w:val="20"/>
          <w:szCs w:val="20"/>
          <w:lang w:val="en-US"/>
        </w:rPr>
        <w:t>conclusions</w:t>
      </w:r>
      <w:r>
        <w:rPr>
          <w:rFonts w:ascii="Arial" w:eastAsia="Times New Roman" w:hAnsi="Arial" w:cs="Arial"/>
          <w:sz w:val="20"/>
          <w:szCs w:val="20"/>
          <w:lang w:val="en-US"/>
        </w:rPr>
        <w:t>;</w:t>
      </w:r>
      <w:r w:rsidR="003D1A7B">
        <w:rPr>
          <w:rFonts w:ascii="Arial" w:eastAsia="Times New Roman" w:hAnsi="Arial" w:cs="Arial"/>
          <w:sz w:val="20"/>
          <w:szCs w:val="20"/>
          <w:lang w:val="en-US"/>
        </w:rPr>
        <w:t xml:space="preserve"> </w:t>
      </w:r>
      <w:r w:rsidR="00FA5D7E">
        <w:rPr>
          <w:rFonts w:ascii="Arial" w:eastAsia="Times New Roman" w:hAnsi="Arial" w:cs="Arial"/>
          <w:sz w:val="20"/>
          <w:szCs w:val="20"/>
          <w:lang w:val="en-US"/>
        </w:rPr>
        <w:t>therefore,</w:t>
      </w:r>
      <w:r w:rsidR="003D1A7B">
        <w:rPr>
          <w:rFonts w:ascii="Arial" w:eastAsia="Times New Roman" w:hAnsi="Arial" w:cs="Arial"/>
          <w:sz w:val="20"/>
          <w:szCs w:val="20"/>
          <w:lang w:val="en-US"/>
        </w:rPr>
        <w:t xml:space="preserve"> the coder had to take them at face value</w:t>
      </w:r>
      <w:proofErr w:type="gramStart"/>
      <w:r w:rsidR="003D1A7B">
        <w:rPr>
          <w:rFonts w:ascii="Arial" w:eastAsia="Times New Roman" w:hAnsi="Arial" w:cs="Arial"/>
          <w:sz w:val="20"/>
          <w:szCs w:val="20"/>
          <w:lang w:val="en-US"/>
        </w:rPr>
        <w:t xml:space="preserve">.  </w:t>
      </w:r>
      <w:proofErr w:type="gramEnd"/>
    </w:p>
    <w:p w14:paraId="77EDF1DA" w14:textId="513A60CF" w:rsidR="00B37C7A" w:rsidRDefault="00B37C7A" w:rsidP="002B2F4F">
      <w:p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sidRPr="005207A9">
        <w:rPr>
          <w:rFonts w:ascii="Arial" w:eastAsia="Times New Roman" w:hAnsi="Arial" w:cs="Arial"/>
          <w:sz w:val="20"/>
          <w:szCs w:val="20"/>
        </w:rPr>
        <w:t xml:space="preserve">While in some cases the GPSA Secretariat team could have provided additional information to revisit certain coding </w:t>
      </w:r>
      <w:r>
        <w:rPr>
          <w:rFonts w:ascii="Arial" w:eastAsia="Times New Roman" w:hAnsi="Arial" w:cs="Arial"/>
          <w:sz w:val="20"/>
          <w:szCs w:val="20"/>
        </w:rPr>
        <w:t xml:space="preserve">to triangulate and </w:t>
      </w:r>
      <w:r w:rsidRPr="005207A9">
        <w:rPr>
          <w:rFonts w:ascii="Arial" w:eastAsia="Times New Roman" w:hAnsi="Arial" w:cs="Arial"/>
          <w:sz w:val="20"/>
          <w:szCs w:val="20"/>
        </w:rPr>
        <w:t xml:space="preserve">add </w:t>
      </w:r>
      <w:r w:rsidR="00047FD1">
        <w:rPr>
          <w:rFonts w:ascii="Arial" w:eastAsia="Times New Roman" w:hAnsi="Arial" w:cs="Arial"/>
          <w:sz w:val="20"/>
          <w:szCs w:val="20"/>
        </w:rPr>
        <w:t xml:space="preserve">tacit </w:t>
      </w:r>
      <w:r w:rsidRPr="005207A9">
        <w:rPr>
          <w:rFonts w:ascii="Arial" w:eastAsia="Times New Roman" w:hAnsi="Arial" w:cs="Arial"/>
          <w:sz w:val="20"/>
          <w:szCs w:val="20"/>
        </w:rPr>
        <w:t>evidence, due to the targeted nature of GPSA Secretariat engagement and the team’s availability, the same institutional memory/knowledge was not available across the sample of cases. In many cases this means that some projects do not benefit from additional information that could have supported higher or lower values. The decision to use only project documentation systematically across the portfolio was prioritized over</w:t>
      </w:r>
      <w:r>
        <w:rPr>
          <w:rFonts w:ascii="Arial" w:eastAsia="Times New Roman" w:hAnsi="Arial" w:cs="Arial"/>
          <w:sz w:val="20"/>
          <w:szCs w:val="20"/>
        </w:rPr>
        <w:t xml:space="preserve"> maximizing the evidence base for</w:t>
      </w:r>
      <w:r w:rsidRPr="005207A9">
        <w:rPr>
          <w:rFonts w:ascii="Arial" w:eastAsia="Times New Roman" w:hAnsi="Arial" w:cs="Arial"/>
          <w:sz w:val="20"/>
          <w:szCs w:val="20"/>
        </w:rPr>
        <w:t xml:space="preserve"> individual </w:t>
      </w:r>
      <w:r>
        <w:rPr>
          <w:rFonts w:ascii="Arial" w:eastAsia="Times New Roman" w:hAnsi="Arial" w:cs="Arial"/>
          <w:sz w:val="20"/>
          <w:szCs w:val="20"/>
        </w:rPr>
        <w:t xml:space="preserve">projects </w:t>
      </w:r>
      <w:r w:rsidRPr="005207A9">
        <w:rPr>
          <w:rFonts w:ascii="Arial" w:eastAsia="Times New Roman" w:hAnsi="Arial" w:cs="Arial"/>
          <w:sz w:val="20"/>
          <w:szCs w:val="20"/>
        </w:rPr>
        <w:t xml:space="preserve">because the goal of this exercise is to a produce a broader picture of the </w:t>
      </w:r>
      <w:proofErr w:type="gramStart"/>
      <w:r w:rsidRPr="005207A9">
        <w:rPr>
          <w:rFonts w:ascii="Arial" w:eastAsia="Times New Roman" w:hAnsi="Arial" w:cs="Arial"/>
          <w:sz w:val="20"/>
          <w:szCs w:val="20"/>
        </w:rPr>
        <w:t>portfolio as a whole</w:t>
      </w:r>
      <w:proofErr w:type="gramEnd"/>
      <w:r>
        <w:rPr>
          <w:rFonts w:ascii="Arial" w:eastAsia="Times New Roman" w:hAnsi="Arial" w:cs="Arial"/>
          <w:sz w:val="20"/>
          <w:szCs w:val="20"/>
        </w:rPr>
        <w:t xml:space="preserve">. </w:t>
      </w:r>
      <w:r w:rsidR="00047FD1">
        <w:rPr>
          <w:rFonts w:ascii="Arial" w:eastAsia="Times New Roman" w:hAnsi="Arial" w:cs="Arial"/>
          <w:sz w:val="20"/>
          <w:szCs w:val="20"/>
        </w:rPr>
        <w:t>However,</w:t>
      </w:r>
      <w:r>
        <w:rPr>
          <w:rFonts w:ascii="Arial" w:eastAsia="Times New Roman" w:hAnsi="Arial" w:cs="Arial"/>
          <w:sz w:val="20"/>
          <w:szCs w:val="20"/>
        </w:rPr>
        <w:t xml:space="preserve"> in moving forward, the </w:t>
      </w:r>
      <w:r w:rsidR="00047FD1">
        <w:rPr>
          <w:rFonts w:ascii="Arial" w:eastAsia="Times New Roman" w:hAnsi="Arial" w:cs="Arial"/>
          <w:sz w:val="20"/>
          <w:szCs w:val="20"/>
        </w:rPr>
        <w:t xml:space="preserve">documented </w:t>
      </w:r>
      <w:r>
        <w:rPr>
          <w:rFonts w:ascii="Arial" w:eastAsia="Times New Roman" w:hAnsi="Arial" w:cs="Arial"/>
          <w:sz w:val="20"/>
          <w:szCs w:val="20"/>
        </w:rPr>
        <w:t xml:space="preserve">regular </w:t>
      </w:r>
      <w:r w:rsidR="00047FD1">
        <w:rPr>
          <w:rFonts w:ascii="Arial" w:eastAsia="Times New Roman" w:hAnsi="Arial" w:cs="Arial"/>
          <w:sz w:val="20"/>
          <w:szCs w:val="20"/>
        </w:rPr>
        <w:t>exchanges</w:t>
      </w:r>
      <w:r>
        <w:rPr>
          <w:rFonts w:ascii="Arial" w:eastAsia="Times New Roman" w:hAnsi="Arial" w:cs="Arial"/>
          <w:sz w:val="20"/>
          <w:szCs w:val="20"/>
        </w:rPr>
        <w:t xml:space="preserve"> between the GPSA, TTLs and grant partners </w:t>
      </w:r>
      <w:r w:rsidR="00047FD1">
        <w:rPr>
          <w:rFonts w:ascii="Arial" w:eastAsia="Times New Roman" w:hAnsi="Arial" w:cs="Arial"/>
          <w:sz w:val="20"/>
          <w:szCs w:val="20"/>
        </w:rPr>
        <w:t>will be</w:t>
      </w:r>
      <w:r>
        <w:rPr>
          <w:rFonts w:ascii="Arial" w:eastAsia="Times New Roman" w:hAnsi="Arial" w:cs="Arial"/>
          <w:sz w:val="20"/>
          <w:szCs w:val="20"/>
        </w:rPr>
        <w:t xml:space="preserve"> a useful source of evidence to </w:t>
      </w:r>
      <w:r w:rsidR="00047FD1">
        <w:rPr>
          <w:rFonts w:ascii="Arial" w:eastAsia="Times New Roman" w:hAnsi="Arial" w:cs="Arial"/>
          <w:sz w:val="20"/>
          <w:szCs w:val="20"/>
        </w:rPr>
        <w:t>draw evidence for assessing Results Framework indicators.</w:t>
      </w:r>
    </w:p>
    <w:p w14:paraId="125A413D" w14:textId="63A7391E" w:rsidR="006260DB" w:rsidRPr="003D1A7B" w:rsidRDefault="00043307" w:rsidP="003D1A7B">
      <w:pPr>
        <w:tabs>
          <w:tab w:val="left" w:pos="810"/>
        </w:tabs>
        <w:autoSpaceDE w:val="0"/>
        <w:autoSpaceDN w:val="0"/>
        <w:adjustRightInd w:val="0"/>
        <w:spacing w:before="120" w:after="120" w:line="240" w:lineRule="auto"/>
        <w:ind w:right="-90"/>
        <w:jc w:val="both"/>
        <w:rPr>
          <w:rFonts w:ascii="Arial" w:eastAsia="Times New Roman" w:hAnsi="Arial" w:cs="Arial"/>
          <w:sz w:val="20"/>
          <w:szCs w:val="20"/>
          <w:lang w:val="en-US"/>
        </w:rPr>
      </w:pPr>
      <w:r w:rsidRPr="005207A9">
        <w:rPr>
          <w:rFonts w:ascii="Arial" w:eastAsia="Times New Roman" w:hAnsi="Arial" w:cs="Arial"/>
          <w:b/>
          <w:bCs/>
          <w:sz w:val="20"/>
          <w:szCs w:val="20"/>
        </w:rPr>
        <w:t>Sample size</w:t>
      </w:r>
      <w:r>
        <w:rPr>
          <w:rFonts w:ascii="Arial" w:eastAsia="Times New Roman" w:hAnsi="Arial" w:cs="Arial"/>
          <w:sz w:val="20"/>
          <w:szCs w:val="20"/>
        </w:rPr>
        <w:t xml:space="preserve">: </w:t>
      </w:r>
      <w:r w:rsidR="006260DB">
        <w:rPr>
          <w:rFonts w:ascii="Arial" w:eastAsia="Times New Roman" w:hAnsi="Arial" w:cs="Arial"/>
          <w:sz w:val="20"/>
          <w:szCs w:val="20"/>
        </w:rPr>
        <w:t xml:space="preserve">It is a </w:t>
      </w:r>
      <w:r w:rsidR="002F74B4">
        <w:rPr>
          <w:rFonts w:ascii="Arial" w:eastAsia="Times New Roman" w:hAnsi="Arial" w:cs="Arial"/>
          <w:sz w:val="20"/>
          <w:szCs w:val="20"/>
        </w:rPr>
        <w:t>relatively</w:t>
      </w:r>
      <w:r w:rsidR="006260DB">
        <w:rPr>
          <w:rFonts w:ascii="Arial" w:eastAsia="Times New Roman" w:hAnsi="Arial" w:cs="Arial"/>
          <w:sz w:val="20"/>
          <w:szCs w:val="20"/>
        </w:rPr>
        <w:t xml:space="preserve"> small sample set, however as mentioned above, in the universe of funded grant partner GPSA projects since 2013 (35) and those which were not too early in implementation (26), </w:t>
      </w:r>
      <w:r>
        <w:rPr>
          <w:rFonts w:ascii="Arial" w:eastAsia="Times New Roman" w:hAnsi="Arial" w:cs="Arial"/>
          <w:sz w:val="20"/>
          <w:szCs w:val="20"/>
        </w:rPr>
        <w:t>the sample</w:t>
      </w:r>
      <w:r w:rsidR="006260DB">
        <w:rPr>
          <w:rFonts w:ascii="Arial" w:eastAsia="Times New Roman" w:hAnsi="Arial" w:cs="Arial"/>
          <w:sz w:val="20"/>
          <w:szCs w:val="20"/>
        </w:rPr>
        <w:t xml:space="preserve"> still represents over half of the</w:t>
      </w:r>
      <w:r>
        <w:rPr>
          <w:rFonts w:ascii="Arial" w:eastAsia="Times New Roman" w:hAnsi="Arial" w:cs="Arial"/>
          <w:sz w:val="20"/>
          <w:szCs w:val="20"/>
        </w:rPr>
        <w:t xml:space="preserve"> available projects for coding</w:t>
      </w:r>
      <w:r w:rsidR="006260DB">
        <w:rPr>
          <w:rFonts w:ascii="Arial" w:eastAsia="Times New Roman" w:hAnsi="Arial" w:cs="Arial"/>
          <w:sz w:val="20"/>
          <w:szCs w:val="20"/>
        </w:rPr>
        <w:t>.</w:t>
      </w:r>
    </w:p>
    <w:p w14:paraId="2F3208F4" w14:textId="05907F2C" w:rsidR="006260DB" w:rsidRDefault="00043307" w:rsidP="008162C2">
      <w:p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sidRPr="005207A9">
        <w:rPr>
          <w:rFonts w:ascii="Arial" w:eastAsia="Times New Roman" w:hAnsi="Arial" w:cs="Arial"/>
          <w:b/>
          <w:bCs/>
          <w:sz w:val="20"/>
          <w:szCs w:val="20"/>
        </w:rPr>
        <w:t>Inter-rater reliability</w:t>
      </w:r>
      <w:r>
        <w:rPr>
          <w:rFonts w:ascii="Arial" w:eastAsia="Times New Roman" w:hAnsi="Arial" w:cs="Arial"/>
          <w:sz w:val="20"/>
          <w:szCs w:val="20"/>
        </w:rPr>
        <w:t xml:space="preserve">: </w:t>
      </w:r>
      <w:r w:rsidR="006260DB">
        <w:rPr>
          <w:rFonts w:ascii="Arial" w:eastAsia="Times New Roman" w:hAnsi="Arial" w:cs="Arial"/>
          <w:sz w:val="20"/>
          <w:szCs w:val="20"/>
        </w:rPr>
        <w:t xml:space="preserve">As this coding </w:t>
      </w:r>
      <w:r w:rsidR="008162C2">
        <w:rPr>
          <w:rFonts w:ascii="Arial" w:eastAsia="Times New Roman" w:hAnsi="Arial" w:cs="Arial"/>
          <w:sz w:val="20"/>
          <w:szCs w:val="20"/>
        </w:rPr>
        <w:t xml:space="preserve">exercise </w:t>
      </w:r>
      <w:r w:rsidR="006260DB">
        <w:rPr>
          <w:rFonts w:ascii="Arial" w:eastAsia="Times New Roman" w:hAnsi="Arial" w:cs="Arial"/>
          <w:sz w:val="20"/>
          <w:szCs w:val="20"/>
        </w:rPr>
        <w:t xml:space="preserve">was completed by the consultant who developed the MERL Guide, there is still </w:t>
      </w:r>
      <w:r w:rsidR="008162C2">
        <w:rPr>
          <w:rFonts w:ascii="Arial" w:eastAsia="Times New Roman" w:hAnsi="Arial" w:cs="Arial"/>
          <w:sz w:val="20"/>
          <w:szCs w:val="20"/>
        </w:rPr>
        <w:t>a need in future</w:t>
      </w:r>
      <w:r w:rsidR="006260DB">
        <w:rPr>
          <w:rFonts w:ascii="Arial" w:eastAsia="Times New Roman" w:hAnsi="Arial" w:cs="Arial"/>
          <w:sz w:val="20"/>
          <w:szCs w:val="20"/>
        </w:rPr>
        <w:t xml:space="preserve"> for testing of inter-rater reliability of the methodology</w:t>
      </w:r>
      <w:r w:rsidR="008162C2">
        <w:rPr>
          <w:rFonts w:ascii="Arial" w:eastAsia="Times New Roman" w:hAnsi="Arial" w:cs="Arial"/>
          <w:sz w:val="20"/>
          <w:szCs w:val="20"/>
        </w:rPr>
        <w:t xml:space="preserve"> for all the operational indicators</w:t>
      </w:r>
      <w:r w:rsidR="006260DB">
        <w:rPr>
          <w:rFonts w:ascii="Arial" w:eastAsia="Times New Roman" w:hAnsi="Arial" w:cs="Arial"/>
          <w:sz w:val="20"/>
          <w:szCs w:val="20"/>
        </w:rPr>
        <w:t xml:space="preserve">. There is an exception of </w:t>
      </w:r>
      <w:r w:rsidR="006327FD" w:rsidRPr="006260DB">
        <w:rPr>
          <w:rFonts w:ascii="Arial" w:eastAsia="Times New Roman" w:hAnsi="Arial" w:cs="Arial"/>
          <w:sz w:val="20"/>
          <w:szCs w:val="20"/>
        </w:rPr>
        <w:t xml:space="preserve">the </w:t>
      </w:r>
      <w:r w:rsidR="008162C2">
        <w:rPr>
          <w:rFonts w:ascii="Arial" w:eastAsia="Times New Roman" w:hAnsi="Arial" w:cs="Arial"/>
          <w:sz w:val="20"/>
          <w:szCs w:val="20"/>
        </w:rPr>
        <w:t xml:space="preserve">two </w:t>
      </w:r>
      <w:r w:rsidR="006327FD" w:rsidRPr="006260DB">
        <w:rPr>
          <w:rFonts w:ascii="Arial" w:eastAsia="Times New Roman" w:hAnsi="Arial" w:cs="Arial"/>
          <w:sz w:val="20"/>
          <w:szCs w:val="20"/>
        </w:rPr>
        <w:t>Spanish project</w:t>
      </w:r>
      <w:r w:rsidR="005934EE" w:rsidRPr="006260DB">
        <w:rPr>
          <w:rFonts w:ascii="Arial" w:eastAsia="Times New Roman" w:hAnsi="Arial" w:cs="Arial"/>
          <w:sz w:val="20"/>
          <w:szCs w:val="20"/>
        </w:rPr>
        <w:t>s</w:t>
      </w:r>
      <w:r w:rsidR="006260DB">
        <w:rPr>
          <w:rFonts w:ascii="Arial" w:eastAsia="Times New Roman" w:hAnsi="Arial" w:cs="Arial"/>
          <w:sz w:val="20"/>
          <w:szCs w:val="20"/>
        </w:rPr>
        <w:t xml:space="preserve"> in the sample which were reviewed and coded by a junior GPSA staff member with the oversight and guidance of the main coder (because the main coder does not speak Spanish). </w:t>
      </w:r>
      <w:r w:rsidR="008162C2">
        <w:rPr>
          <w:rFonts w:ascii="Arial" w:eastAsia="Times New Roman" w:hAnsi="Arial" w:cs="Arial"/>
          <w:sz w:val="20"/>
          <w:szCs w:val="20"/>
        </w:rPr>
        <w:t xml:space="preserve">While the coder provided quality assurance and reviewed different versions, it was not possible for them to check all the details with 100% accuracy without being able to also review the source secondary Spanish documents. However, the first project in the sample was completed and reviewed by another GPSA team member who also reviewed and helped develop the MERL Guide and the GPSA Results Framework itself. This provided a degree of quality assurance and inter-coder reliability. </w:t>
      </w:r>
      <w:r w:rsidR="00772B25">
        <w:rPr>
          <w:rFonts w:ascii="Arial" w:eastAsia="Times New Roman" w:hAnsi="Arial" w:cs="Arial"/>
          <w:sz w:val="20"/>
          <w:szCs w:val="20"/>
        </w:rPr>
        <w:t>However,</w:t>
      </w:r>
      <w:r w:rsidR="008162C2">
        <w:rPr>
          <w:rFonts w:ascii="Arial" w:eastAsia="Times New Roman" w:hAnsi="Arial" w:cs="Arial"/>
          <w:sz w:val="20"/>
          <w:szCs w:val="20"/>
        </w:rPr>
        <w:t xml:space="preserve"> this will continue to be tested as the GPSA continues to use the Results </w:t>
      </w:r>
      <w:r w:rsidR="002F74B4">
        <w:rPr>
          <w:rFonts w:ascii="Arial" w:eastAsia="Times New Roman" w:hAnsi="Arial" w:cs="Arial"/>
          <w:sz w:val="20"/>
          <w:szCs w:val="20"/>
        </w:rPr>
        <w:t>Framework</w:t>
      </w:r>
      <w:r w:rsidR="008162C2">
        <w:rPr>
          <w:rFonts w:ascii="Arial" w:eastAsia="Times New Roman" w:hAnsi="Arial" w:cs="Arial"/>
          <w:sz w:val="20"/>
          <w:szCs w:val="20"/>
        </w:rPr>
        <w:t xml:space="preserve"> and different grant partners and MERL Consultants use the </w:t>
      </w:r>
      <w:r w:rsidR="002F74B4">
        <w:rPr>
          <w:rFonts w:ascii="Arial" w:eastAsia="Times New Roman" w:hAnsi="Arial" w:cs="Arial"/>
          <w:sz w:val="20"/>
          <w:szCs w:val="20"/>
        </w:rPr>
        <w:t>required</w:t>
      </w:r>
      <w:r w:rsidR="008162C2">
        <w:rPr>
          <w:rFonts w:ascii="Arial" w:eastAsia="Times New Roman" w:hAnsi="Arial" w:cs="Arial"/>
          <w:sz w:val="20"/>
          <w:szCs w:val="20"/>
        </w:rPr>
        <w:t xml:space="preserve"> operational indicators and follow the MERL Guide for their assessment. </w:t>
      </w:r>
    </w:p>
    <w:p w14:paraId="45AB899A" w14:textId="15C26025" w:rsidR="00F26CDF" w:rsidRDefault="00F26CDF" w:rsidP="008162C2">
      <w:p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b/>
          <w:bCs/>
          <w:sz w:val="20"/>
          <w:szCs w:val="20"/>
        </w:rPr>
        <w:t xml:space="preserve">Comparisons </w:t>
      </w:r>
      <w:r w:rsidRPr="00B86D34">
        <w:rPr>
          <w:rFonts w:ascii="Arial" w:eastAsia="Times New Roman" w:hAnsi="Arial" w:cs="Arial"/>
          <w:b/>
          <w:bCs/>
          <w:sz w:val="20"/>
          <w:szCs w:val="20"/>
        </w:rPr>
        <w:t>over time</w:t>
      </w:r>
      <w:r>
        <w:rPr>
          <w:rFonts w:ascii="Arial" w:eastAsia="Times New Roman" w:hAnsi="Arial" w:cs="Arial"/>
          <w:sz w:val="20"/>
          <w:szCs w:val="20"/>
        </w:rPr>
        <w:t xml:space="preserve"> It is also important to note that as this coding exercise was done retroactively, it cannot be used in a time series comparison over time. The data in future exercises will be both primary and secondary and will use the method as intended in the MERL guide. As such, the project and portfolio level values may be quite different as a result. Therefore, any comparisons drawn between this initial retroactive exercise and future ones must </w:t>
      </w:r>
      <w:proofErr w:type="gramStart"/>
      <w:r>
        <w:rPr>
          <w:rFonts w:ascii="Arial" w:eastAsia="Times New Roman" w:hAnsi="Arial" w:cs="Arial"/>
          <w:sz w:val="20"/>
          <w:szCs w:val="20"/>
        </w:rPr>
        <w:t>take into account</w:t>
      </w:r>
      <w:proofErr w:type="gramEnd"/>
      <w:r>
        <w:rPr>
          <w:rFonts w:ascii="Arial" w:eastAsia="Times New Roman" w:hAnsi="Arial" w:cs="Arial"/>
          <w:sz w:val="20"/>
          <w:szCs w:val="20"/>
        </w:rPr>
        <w:t xml:space="preserve"> the differences in method and available evidence. </w:t>
      </w:r>
    </w:p>
    <w:p w14:paraId="0132FC0E" w14:textId="31E658E4" w:rsidR="00F26CDF" w:rsidRDefault="00F26CDF" w:rsidP="006260DB">
      <w:p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sidRPr="005207A9">
        <w:rPr>
          <w:rFonts w:ascii="Arial" w:eastAsia="Times New Roman" w:hAnsi="Arial" w:cs="Arial"/>
          <w:b/>
          <w:bCs/>
          <w:sz w:val="20"/>
          <w:szCs w:val="20"/>
          <w:lang w:val="en-US"/>
        </w:rPr>
        <w:t>Concessions made for data gaps</w:t>
      </w:r>
      <w:r>
        <w:rPr>
          <w:rFonts w:ascii="Arial" w:eastAsia="Times New Roman" w:hAnsi="Arial" w:cs="Arial"/>
          <w:sz w:val="20"/>
          <w:szCs w:val="20"/>
          <w:lang w:val="en-US"/>
        </w:rPr>
        <w:t xml:space="preserve">: </w:t>
      </w:r>
      <w:r w:rsidR="006260DB">
        <w:rPr>
          <w:rFonts w:ascii="Arial" w:eastAsia="Times New Roman" w:hAnsi="Arial" w:cs="Arial"/>
          <w:sz w:val="20"/>
          <w:szCs w:val="20"/>
          <w:lang w:val="en-US"/>
        </w:rPr>
        <w:t xml:space="preserve">The </w:t>
      </w:r>
      <w:r w:rsidR="006260DB" w:rsidRPr="003D1A7B">
        <w:rPr>
          <w:rFonts w:ascii="Arial" w:eastAsia="Times New Roman" w:hAnsi="Arial" w:cs="Arial"/>
          <w:sz w:val="20"/>
          <w:szCs w:val="20"/>
        </w:rPr>
        <w:t>coder</w:t>
      </w:r>
      <w:r w:rsidR="006260DB">
        <w:rPr>
          <w:rFonts w:ascii="Arial" w:eastAsia="Times New Roman" w:hAnsi="Arial" w:cs="Arial"/>
          <w:sz w:val="20"/>
          <w:szCs w:val="20"/>
        </w:rPr>
        <w:t xml:space="preserve"> used their own logical </w:t>
      </w:r>
      <w:r w:rsidR="006260DB" w:rsidRPr="003D1A7B">
        <w:rPr>
          <w:rFonts w:ascii="Arial" w:eastAsia="Times New Roman" w:hAnsi="Arial" w:cs="Arial"/>
          <w:sz w:val="20"/>
          <w:szCs w:val="20"/>
        </w:rPr>
        <w:t xml:space="preserve">judgement for </w:t>
      </w:r>
      <w:proofErr w:type="gramStart"/>
      <w:r w:rsidR="006260DB" w:rsidRPr="003D1A7B">
        <w:rPr>
          <w:rFonts w:ascii="Arial" w:eastAsia="Times New Roman" w:hAnsi="Arial" w:cs="Arial"/>
          <w:sz w:val="20"/>
          <w:szCs w:val="20"/>
        </w:rPr>
        <w:t>some</w:t>
      </w:r>
      <w:proofErr w:type="gramEnd"/>
      <w:r w:rsidR="006260DB" w:rsidRPr="003D1A7B">
        <w:rPr>
          <w:rFonts w:ascii="Arial" w:eastAsia="Times New Roman" w:hAnsi="Arial" w:cs="Arial"/>
          <w:sz w:val="20"/>
          <w:szCs w:val="20"/>
        </w:rPr>
        <w:t xml:space="preserve"> </w:t>
      </w:r>
      <w:r w:rsidR="006260DB">
        <w:rPr>
          <w:rFonts w:ascii="Arial" w:eastAsia="Times New Roman" w:hAnsi="Arial" w:cs="Arial"/>
          <w:sz w:val="20"/>
          <w:szCs w:val="20"/>
        </w:rPr>
        <w:t xml:space="preserve">aspects of assessing the indicators based on what was available, triangulation where possible and their knowledge of the GPSA conceptual framework for the operational indicators and intended results related to these indicators. In some cases, the coder </w:t>
      </w:r>
      <w:r w:rsidR="006327FD" w:rsidRPr="006260DB">
        <w:rPr>
          <w:rFonts w:ascii="Arial" w:eastAsia="Times New Roman" w:hAnsi="Arial" w:cs="Arial"/>
          <w:sz w:val="20"/>
          <w:szCs w:val="20"/>
        </w:rPr>
        <w:t>erred in favour</w:t>
      </w:r>
      <w:r w:rsidR="006260DB">
        <w:rPr>
          <w:rFonts w:ascii="Arial" w:eastAsia="Times New Roman" w:hAnsi="Arial" w:cs="Arial"/>
          <w:sz w:val="20"/>
          <w:szCs w:val="20"/>
        </w:rPr>
        <w:t xml:space="preserve"> of positive performance as ‘absence of evidence is not evidence of absence’. This has led to a higher</w:t>
      </w:r>
      <w:r w:rsidR="005934EE" w:rsidRPr="006260DB">
        <w:rPr>
          <w:rFonts w:ascii="Arial" w:eastAsia="Times New Roman" w:hAnsi="Arial" w:cs="Arial"/>
          <w:sz w:val="20"/>
          <w:szCs w:val="20"/>
        </w:rPr>
        <w:t xml:space="preserve"> aggregated values</w:t>
      </w:r>
      <w:r w:rsidR="006260DB">
        <w:rPr>
          <w:rFonts w:ascii="Arial" w:eastAsia="Times New Roman" w:hAnsi="Arial" w:cs="Arial"/>
          <w:sz w:val="20"/>
          <w:szCs w:val="20"/>
        </w:rPr>
        <w:t xml:space="preserve"> than may have been the case had more robust and detailed data been provided across all projects and if primary data collection had been possible. That said, there are details sources, quotes and page numbers referenced for all projects and indicators in the excel sheet and </w:t>
      </w:r>
      <w:r w:rsidR="002F74B4">
        <w:rPr>
          <w:rFonts w:ascii="Arial" w:eastAsia="Times New Roman" w:hAnsi="Arial" w:cs="Arial"/>
          <w:sz w:val="20"/>
          <w:szCs w:val="20"/>
        </w:rPr>
        <w:t>limitations</w:t>
      </w:r>
      <w:r w:rsidR="006260DB">
        <w:rPr>
          <w:rFonts w:ascii="Arial" w:eastAsia="Times New Roman" w:hAnsi="Arial" w:cs="Arial"/>
          <w:sz w:val="20"/>
          <w:szCs w:val="20"/>
        </w:rPr>
        <w:t xml:space="preserve"> are transparently explained. </w:t>
      </w:r>
    </w:p>
    <w:p w14:paraId="503E75C6" w14:textId="39DBA541" w:rsidR="00B37C7A" w:rsidRDefault="00B37C7A" w:rsidP="00B37C7A">
      <w:pPr>
        <w:tabs>
          <w:tab w:val="left" w:pos="810"/>
        </w:tabs>
        <w:autoSpaceDE w:val="0"/>
        <w:autoSpaceDN w:val="0"/>
        <w:adjustRightInd w:val="0"/>
        <w:spacing w:before="120" w:after="120" w:line="240" w:lineRule="auto"/>
        <w:ind w:right="-90"/>
        <w:jc w:val="both"/>
        <w:rPr>
          <w:rFonts w:ascii="Arial" w:eastAsia="Times New Roman" w:hAnsi="Arial" w:cs="Arial"/>
          <w:b/>
          <w:bCs/>
          <w:sz w:val="20"/>
          <w:szCs w:val="20"/>
          <w:lang w:val="en-US"/>
        </w:rPr>
      </w:pPr>
      <w:r>
        <w:rPr>
          <w:rFonts w:ascii="Arial" w:eastAsia="Times New Roman" w:hAnsi="Arial" w:cs="Arial"/>
          <w:b/>
          <w:bCs/>
          <w:sz w:val="20"/>
          <w:szCs w:val="20"/>
          <w:lang w:val="en-US"/>
        </w:rPr>
        <w:t>2.6 Utility and validity</w:t>
      </w:r>
    </w:p>
    <w:p w14:paraId="19C7CD5A" w14:textId="43B56D7D" w:rsidR="0000778D" w:rsidRDefault="000E7FCC" w:rsidP="0000778D">
      <w:p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t>Despite the limitations</w:t>
      </w:r>
      <w:r w:rsidR="00B37C7A">
        <w:rPr>
          <w:rFonts w:ascii="Arial" w:eastAsia="Times New Roman" w:hAnsi="Arial" w:cs="Arial"/>
          <w:sz w:val="20"/>
          <w:szCs w:val="20"/>
        </w:rPr>
        <w:t xml:space="preserve"> and trade-offs noted</w:t>
      </w:r>
      <w:r>
        <w:rPr>
          <w:rFonts w:ascii="Arial" w:eastAsia="Times New Roman" w:hAnsi="Arial" w:cs="Arial"/>
          <w:sz w:val="20"/>
          <w:szCs w:val="20"/>
        </w:rPr>
        <w:t xml:space="preserve"> above, there are several points to note that validate the usefulness and justify </w:t>
      </w:r>
      <w:r w:rsidR="001A472A">
        <w:rPr>
          <w:rFonts w:ascii="Arial" w:eastAsia="Times New Roman" w:hAnsi="Arial" w:cs="Arial"/>
          <w:sz w:val="20"/>
          <w:szCs w:val="20"/>
        </w:rPr>
        <w:t xml:space="preserve">the </w:t>
      </w:r>
      <w:r>
        <w:rPr>
          <w:rFonts w:ascii="Arial" w:eastAsia="Times New Roman" w:hAnsi="Arial" w:cs="Arial"/>
          <w:sz w:val="20"/>
          <w:szCs w:val="20"/>
        </w:rPr>
        <w:t xml:space="preserve">validity of the </w:t>
      </w:r>
      <w:r w:rsidR="001A472A">
        <w:rPr>
          <w:rFonts w:ascii="Arial" w:eastAsia="Times New Roman" w:hAnsi="Arial" w:cs="Arial"/>
          <w:sz w:val="20"/>
          <w:szCs w:val="20"/>
        </w:rPr>
        <w:t xml:space="preserve">15 </w:t>
      </w:r>
      <w:r>
        <w:rPr>
          <w:rFonts w:ascii="Arial" w:eastAsia="Times New Roman" w:hAnsi="Arial" w:cs="Arial"/>
          <w:sz w:val="20"/>
          <w:szCs w:val="20"/>
        </w:rPr>
        <w:t>individual</w:t>
      </w:r>
      <w:r w:rsidR="001A472A">
        <w:rPr>
          <w:rFonts w:ascii="Arial" w:eastAsia="Times New Roman" w:hAnsi="Arial" w:cs="Arial"/>
          <w:sz w:val="20"/>
          <w:szCs w:val="20"/>
        </w:rPr>
        <w:t xml:space="preserve"> projects</w:t>
      </w:r>
      <w:r>
        <w:rPr>
          <w:rFonts w:ascii="Arial" w:eastAsia="Times New Roman" w:hAnsi="Arial" w:cs="Arial"/>
          <w:sz w:val="20"/>
          <w:szCs w:val="20"/>
        </w:rPr>
        <w:t xml:space="preserve"> and </w:t>
      </w:r>
      <w:r w:rsidR="002F74B4">
        <w:rPr>
          <w:rFonts w:ascii="Arial" w:eastAsia="Times New Roman" w:hAnsi="Arial" w:cs="Arial"/>
          <w:sz w:val="20"/>
          <w:szCs w:val="20"/>
        </w:rPr>
        <w:t>aggregated</w:t>
      </w:r>
      <w:r>
        <w:rPr>
          <w:rFonts w:ascii="Arial" w:eastAsia="Times New Roman" w:hAnsi="Arial" w:cs="Arial"/>
          <w:sz w:val="20"/>
          <w:szCs w:val="20"/>
        </w:rPr>
        <w:t xml:space="preserve"> </w:t>
      </w:r>
      <w:r w:rsidR="001A472A">
        <w:rPr>
          <w:rFonts w:ascii="Arial" w:eastAsia="Times New Roman" w:hAnsi="Arial" w:cs="Arial"/>
          <w:sz w:val="20"/>
          <w:szCs w:val="20"/>
        </w:rPr>
        <w:t xml:space="preserve">sample </w:t>
      </w:r>
      <w:r>
        <w:rPr>
          <w:rFonts w:ascii="Arial" w:eastAsia="Times New Roman" w:hAnsi="Arial" w:cs="Arial"/>
          <w:sz w:val="20"/>
          <w:szCs w:val="20"/>
        </w:rPr>
        <w:t>dataset for the intended purposes of this retroactive coding and the SRP/Forward Look</w:t>
      </w:r>
      <w:r w:rsidR="00C40583">
        <w:rPr>
          <w:rFonts w:ascii="Arial" w:eastAsia="Times New Roman" w:hAnsi="Arial" w:cs="Arial"/>
          <w:sz w:val="20"/>
          <w:szCs w:val="20"/>
        </w:rPr>
        <w:t xml:space="preserve"> as follows:</w:t>
      </w:r>
    </w:p>
    <w:p w14:paraId="32AC317E" w14:textId="496C0AC3" w:rsidR="0000778D" w:rsidRPr="003E2061" w:rsidRDefault="003E2061" w:rsidP="003E2061">
      <w:pPr>
        <w:pStyle w:val="ListParagraph"/>
        <w:numPr>
          <w:ilvl w:val="0"/>
          <w:numId w:val="12"/>
        </w:num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lastRenderedPageBreak/>
        <w:t xml:space="preserve">The testing with only secondary data available even with </w:t>
      </w:r>
      <w:proofErr w:type="gramStart"/>
      <w:r w:rsidR="00772B25">
        <w:rPr>
          <w:rFonts w:ascii="Arial" w:eastAsia="Times New Roman" w:hAnsi="Arial" w:cs="Arial"/>
          <w:sz w:val="20"/>
          <w:szCs w:val="20"/>
        </w:rPr>
        <w:t>some</w:t>
      </w:r>
      <w:proofErr w:type="gramEnd"/>
      <w:r>
        <w:rPr>
          <w:rFonts w:ascii="Arial" w:eastAsia="Times New Roman" w:hAnsi="Arial" w:cs="Arial"/>
          <w:sz w:val="20"/>
          <w:szCs w:val="20"/>
        </w:rPr>
        <w:t xml:space="preserve"> documentation and quality limitations</w:t>
      </w:r>
      <w:r w:rsidR="006327FD" w:rsidRPr="0000778D">
        <w:rPr>
          <w:rFonts w:ascii="Arial" w:eastAsia="Times New Roman" w:hAnsi="Arial" w:cs="Arial"/>
          <w:sz w:val="20"/>
          <w:szCs w:val="20"/>
        </w:rPr>
        <w:t xml:space="preserve"> reflects the R</w:t>
      </w:r>
      <w:r>
        <w:rPr>
          <w:rFonts w:ascii="Arial" w:eastAsia="Times New Roman" w:hAnsi="Arial" w:cs="Arial"/>
          <w:sz w:val="20"/>
          <w:szCs w:val="20"/>
        </w:rPr>
        <w:t xml:space="preserve">esults </w:t>
      </w:r>
      <w:r w:rsidR="006327FD" w:rsidRPr="0000778D">
        <w:rPr>
          <w:rFonts w:ascii="Arial" w:eastAsia="Times New Roman" w:hAnsi="Arial" w:cs="Arial"/>
          <w:sz w:val="20"/>
          <w:szCs w:val="20"/>
        </w:rPr>
        <w:t>F</w:t>
      </w:r>
      <w:r>
        <w:rPr>
          <w:rFonts w:ascii="Arial" w:eastAsia="Times New Roman" w:hAnsi="Arial" w:cs="Arial"/>
          <w:sz w:val="20"/>
          <w:szCs w:val="20"/>
        </w:rPr>
        <w:t>ramework</w:t>
      </w:r>
      <w:r w:rsidR="006327FD" w:rsidRPr="0000778D">
        <w:rPr>
          <w:rFonts w:ascii="Arial" w:eastAsia="Times New Roman" w:hAnsi="Arial" w:cs="Arial"/>
          <w:sz w:val="20"/>
          <w:szCs w:val="20"/>
        </w:rPr>
        <w:t xml:space="preserve"> indicato</w:t>
      </w:r>
      <w:r>
        <w:rPr>
          <w:rFonts w:ascii="Arial" w:eastAsia="Times New Roman" w:hAnsi="Arial" w:cs="Arial"/>
          <w:sz w:val="20"/>
          <w:szCs w:val="20"/>
        </w:rPr>
        <w:t>r</w:t>
      </w:r>
      <w:r w:rsidR="006327FD" w:rsidRPr="0000778D">
        <w:rPr>
          <w:rFonts w:ascii="Arial" w:eastAsia="Times New Roman" w:hAnsi="Arial" w:cs="Arial"/>
          <w:sz w:val="20"/>
          <w:szCs w:val="20"/>
        </w:rPr>
        <w:t>s can be assessed</w:t>
      </w:r>
      <w:r>
        <w:rPr>
          <w:rFonts w:ascii="Arial" w:eastAsia="Times New Roman" w:hAnsi="Arial" w:cs="Arial"/>
          <w:sz w:val="20"/>
          <w:szCs w:val="20"/>
        </w:rPr>
        <w:t xml:space="preserve"> using the MERL Guide methodology,</w:t>
      </w:r>
      <w:r w:rsidR="006327FD" w:rsidRPr="0000778D">
        <w:rPr>
          <w:rFonts w:ascii="Arial" w:eastAsia="Times New Roman" w:hAnsi="Arial" w:cs="Arial"/>
          <w:sz w:val="20"/>
          <w:szCs w:val="20"/>
        </w:rPr>
        <w:t xml:space="preserve"> even retroactively</w:t>
      </w:r>
      <w:r>
        <w:rPr>
          <w:rFonts w:ascii="Arial" w:eastAsia="Times New Roman" w:hAnsi="Arial" w:cs="Arial"/>
          <w:sz w:val="20"/>
          <w:szCs w:val="20"/>
        </w:rPr>
        <w:t>.</w:t>
      </w:r>
      <w:r w:rsidRPr="003E2061">
        <w:rPr>
          <w:rFonts w:ascii="Arial" w:eastAsia="Times New Roman" w:hAnsi="Arial" w:cs="Arial"/>
          <w:sz w:val="20"/>
          <w:szCs w:val="20"/>
        </w:rPr>
        <w:t xml:space="preserve"> </w:t>
      </w:r>
      <w:r>
        <w:rPr>
          <w:rFonts w:ascii="Arial" w:eastAsia="Times New Roman" w:hAnsi="Arial" w:cs="Arial"/>
          <w:sz w:val="20"/>
          <w:szCs w:val="20"/>
        </w:rPr>
        <w:t xml:space="preserve">Therefore, it </w:t>
      </w:r>
      <w:r w:rsidR="00772B25">
        <w:rPr>
          <w:rFonts w:ascii="Arial" w:eastAsia="Times New Roman" w:hAnsi="Arial" w:cs="Arial"/>
          <w:sz w:val="20"/>
          <w:szCs w:val="20"/>
        </w:rPr>
        <w:t>provides</w:t>
      </w:r>
      <w:r w:rsidRPr="0000778D">
        <w:rPr>
          <w:rFonts w:ascii="Arial" w:eastAsia="Times New Roman" w:hAnsi="Arial" w:cs="Arial"/>
          <w:sz w:val="20"/>
          <w:szCs w:val="20"/>
        </w:rPr>
        <w:t xml:space="preserve"> a </w:t>
      </w:r>
      <w:r>
        <w:rPr>
          <w:rFonts w:ascii="Arial" w:eastAsia="Times New Roman" w:hAnsi="Arial" w:cs="Arial"/>
          <w:sz w:val="20"/>
          <w:szCs w:val="20"/>
        </w:rPr>
        <w:t xml:space="preserve">useful </w:t>
      </w:r>
      <w:r w:rsidRPr="0000778D">
        <w:rPr>
          <w:rFonts w:ascii="Arial" w:eastAsia="Times New Roman" w:hAnsi="Arial" w:cs="Arial"/>
          <w:sz w:val="20"/>
          <w:szCs w:val="20"/>
        </w:rPr>
        <w:t>starting point for sense checking the</w:t>
      </w:r>
      <w:r>
        <w:rPr>
          <w:rFonts w:ascii="Arial" w:eastAsia="Times New Roman" w:hAnsi="Arial" w:cs="Arial"/>
          <w:sz w:val="20"/>
          <w:szCs w:val="20"/>
        </w:rPr>
        <w:t xml:space="preserve"> </w:t>
      </w:r>
      <w:r w:rsidRPr="0000778D">
        <w:rPr>
          <w:rFonts w:ascii="Arial" w:eastAsia="Times New Roman" w:hAnsi="Arial" w:cs="Arial"/>
          <w:sz w:val="20"/>
          <w:szCs w:val="20"/>
        </w:rPr>
        <w:t>indicators</w:t>
      </w:r>
      <w:r>
        <w:rPr>
          <w:rFonts w:ascii="Arial" w:eastAsia="Times New Roman" w:hAnsi="Arial" w:cs="Arial"/>
          <w:sz w:val="20"/>
          <w:szCs w:val="20"/>
        </w:rPr>
        <w:t xml:space="preserve">, methodology </w:t>
      </w:r>
      <w:r w:rsidRPr="0000778D">
        <w:rPr>
          <w:rFonts w:ascii="Arial" w:eastAsia="Times New Roman" w:hAnsi="Arial" w:cs="Arial"/>
          <w:sz w:val="20"/>
          <w:szCs w:val="20"/>
        </w:rPr>
        <w:t xml:space="preserve">and the performance </w:t>
      </w:r>
      <w:r>
        <w:rPr>
          <w:rFonts w:ascii="Arial" w:eastAsia="Times New Roman" w:hAnsi="Arial" w:cs="Arial"/>
          <w:sz w:val="20"/>
          <w:szCs w:val="20"/>
        </w:rPr>
        <w:t xml:space="preserve">of previous grants </w:t>
      </w:r>
      <w:r w:rsidR="002F74B4">
        <w:rPr>
          <w:rFonts w:ascii="Arial" w:eastAsia="Times New Roman" w:hAnsi="Arial" w:cs="Arial"/>
          <w:sz w:val="20"/>
          <w:szCs w:val="20"/>
        </w:rPr>
        <w:t>against</w:t>
      </w:r>
      <w:r>
        <w:rPr>
          <w:rFonts w:ascii="Arial" w:eastAsia="Times New Roman" w:hAnsi="Arial" w:cs="Arial"/>
          <w:sz w:val="20"/>
          <w:szCs w:val="20"/>
        </w:rPr>
        <w:t xml:space="preserve"> them.</w:t>
      </w:r>
    </w:p>
    <w:p w14:paraId="21152002" w14:textId="214725CB" w:rsidR="0000778D" w:rsidRDefault="003E2061" w:rsidP="0000778D">
      <w:pPr>
        <w:pStyle w:val="ListParagraph"/>
        <w:numPr>
          <w:ilvl w:val="0"/>
          <w:numId w:val="12"/>
        </w:num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t xml:space="preserve">For determining to the coded values for </w:t>
      </w:r>
      <w:r w:rsidR="00B37C7A">
        <w:rPr>
          <w:rFonts w:ascii="Arial" w:eastAsia="Times New Roman" w:hAnsi="Arial" w:cs="Arial"/>
          <w:sz w:val="20"/>
          <w:szCs w:val="20"/>
        </w:rPr>
        <w:t xml:space="preserve">every </w:t>
      </w:r>
      <w:r>
        <w:rPr>
          <w:rFonts w:ascii="Arial" w:eastAsia="Times New Roman" w:hAnsi="Arial" w:cs="Arial"/>
          <w:sz w:val="20"/>
          <w:szCs w:val="20"/>
        </w:rPr>
        <w:t xml:space="preserve">operational indicator of each of the </w:t>
      </w:r>
      <w:proofErr w:type="gramStart"/>
      <w:r>
        <w:rPr>
          <w:rFonts w:ascii="Arial" w:eastAsia="Times New Roman" w:hAnsi="Arial" w:cs="Arial"/>
          <w:sz w:val="20"/>
          <w:szCs w:val="20"/>
        </w:rPr>
        <w:t>15</w:t>
      </w:r>
      <w:proofErr w:type="gramEnd"/>
      <w:r>
        <w:rPr>
          <w:rFonts w:ascii="Arial" w:eastAsia="Times New Roman" w:hAnsi="Arial" w:cs="Arial"/>
          <w:sz w:val="20"/>
          <w:szCs w:val="20"/>
        </w:rPr>
        <w:t xml:space="preserve"> sample projects, the coder triangulated</w:t>
      </w:r>
      <w:r w:rsidR="006327FD" w:rsidRPr="0000778D">
        <w:rPr>
          <w:rFonts w:ascii="Arial" w:eastAsia="Times New Roman" w:hAnsi="Arial" w:cs="Arial"/>
          <w:sz w:val="20"/>
          <w:szCs w:val="20"/>
        </w:rPr>
        <w:t xml:space="preserve"> across </w:t>
      </w:r>
      <w:r>
        <w:rPr>
          <w:rFonts w:ascii="Arial" w:eastAsia="Times New Roman" w:hAnsi="Arial" w:cs="Arial"/>
          <w:sz w:val="20"/>
          <w:szCs w:val="20"/>
        </w:rPr>
        <w:t xml:space="preserve">several </w:t>
      </w:r>
      <w:r w:rsidR="006327FD" w:rsidRPr="0000778D">
        <w:rPr>
          <w:rFonts w:ascii="Arial" w:eastAsia="Times New Roman" w:hAnsi="Arial" w:cs="Arial"/>
          <w:sz w:val="20"/>
          <w:szCs w:val="20"/>
        </w:rPr>
        <w:t>sources</w:t>
      </w:r>
      <w:r w:rsidR="0000778D">
        <w:rPr>
          <w:rFonts w:ascii="Arial" w:eastAsia="Times New Roman" w:hAnsi="Arial" w:cs="Arial"/>
          <w:sz w:val="20"/>
          <w:szCs w:val="20"/>
        </w:rPr>
        <w:t xml:space="preserve"> throughout project life</w:t>
      </w:r>
      <w:r w:rsidR="006327FD" w:rsidRPr="0000778D">
        <w:rPr>
          <w:rFonts w:ascii="Arial" w:eastAsia="Times New Roman" w:hAnsi="Arial" w:cs="Arial"/>
          <w:sz w:val="20"/>
          <w:szCs w:val="20"/>
        </w:rPr>
        <w:t xml:space="preserve"> </w:t>
      </w:r>
      <w:r>
        <w:rPr>
          <w:rFonts w:ascii="Arial" w:eastAsia="Times New Roman" w:hAnsi="Arial" w:cs="Arial"/>
          <w:sz w:val="20"/>
          <w:szCs w:val="20"/>
        </w:rPr>
        <w:t xml:space="preserve">and included </w:t>
      </w:r>
      <w:r w:rsidR="002F74B4">
        <w:rPr>
          <w:rFonts w:ascii="Arial" w:eastAsia="Times New Roman" w:hAnsi="Arial" w:cs="Arial"/>
          <w:sz w:val="20"/>
          <w:szCs w:val="20"/>
        </w:rPr>
        <w:t>numerous</w:t>
      </w:r>
      <w:r w:rsidR="006327FD" w:rsidRPr="0000778D">
        <w:rPr>
          <w:rFonts w:ascii="Arial" w:eastAsia="Times New Roman" w:hAnsi="Arial" w:cs="Arial"/>
          <w:sz w:val="20"/>
          <w:szCs w:val="20"/>
        </w:rPr>
        <w:t xml:space="preserve"> examples</w:t>
      </w:r>
      <w:r>
        <w:rPr>
          <w:rFonts w:ascii="Arial" w:eastAsia="Times New Roman" w:hAnsi="Arial" w:cs="Arial"/>
          <w:sz w:val="20"/>
          <w:szCs w:val="20"/>
        </w:rPr>
        <w:t xml:space="preserve"> and </w:t>
      </w:r>
      <w:r w:rsidR="006327FD" w:rsidRPr="0000778D">
        <w:rPr>
          <w:rFonts w:ascii="Arial" w:eastAsia="Times New Roman" w:hAnsi="Arial" w:cs="Arial"/>
          <w:sz w:val="20"/>
          <w:szCs w:val="20"/>
        </w:rPr>
        <w:t>quotes</w:t>
      </w:r>
      <w:r>
        <w:rPr>
          <w:rFonts w:ascii="Arial" w:eastAsia="Times New Roman" w:hAnsi="Arial" w:cs="Arial"/>
          <w:sz w:val="20"/>
          <w:szCs w:val="20"/>
        </w:rPr>
        <w:t xml:space="preserve"> with page number</w:t>
      </w:r>
      <w:r w:rsidR="006327FD" w:rsidRPr="0000778D">
        <w:rPr>
          <w:rFonts w:ascii="Arial" w:eastAsia="Times New Roman" w:hAnsi="Arial" w:cs="Arial"/>
          <w:sz w:val="20"/>
          <w:szCs w:val="20"/>
        </w:rPr>
        <w:t>s</w:t>
      </w:r>
      <w:r>
        <w:rPr>
          <w:rFonts w:ascii="Arial" w:eastAsia="Times New Roman" w:hAnsi="Arial" w:cs="Arial"/>
          <w:sz w:val="20"/>
          <w:szCs w:val="20"/>
        </w:rPr>
        <w:t xml:space="preserve"> (see individual project files). The inclusion of</w:t>
      </w:r>
      <w:r w:rsidR="006327FD" w:rsidRPr="0000778D">
        <w:rPr>
          <w:rFonts w:ascii="Arial" w:eastAsia="Times New Roman" w:hAnsi="Arial" w:cs="Arial"/>
          <w:sz w:val="20"/>
          <w:szCs w:val="20"/>
        </w:rPr>
        <w:t xml:space="preserve"> </w:t>
      </w:r>
      <w:r w:rsidR="0000778D">
        <w:rPr>
          <w:rFonts w:ascii="Arial" w:eastAsia="Times New Roman" w:hAnsi="Arial" w:cs="Arial"/>
          <w:sz w:val="20"/>
          <w:szCs w:val="20"/>
        </w:rPr>
        <w:t>independen</w:t>
      </w:r>
      <w:r>
        <w:rPr>
          <w:rFonts w:ascii="Arial" w:eastAsia="Times New Roman" w:hAnsi="Arial" w:cs="Arial"/>
          <w:sz w:val="20"/>
          <w:szCs w:val="20"/>
        </w:rPr>
        <w:t>t</w:t>
      </w:r>
      <w:r w:rsidR="0000778D">
        <w:rPr>
          <w:rFonts w:ascii="Arial" w:eastAsia="Times New Roman" w:hAnsi="Arial" w:cs="Arial"/>
          <w:sz w:val="20"/>
          <w:szCs w:val="20"/>
        </w:rPr>
        <w:t xml:space="preserve"> eval</w:t>
      </w:r>
      <w:r>
        <w:rPr>
          <w:rFonts w:ascii="Arial" w:eastAsia="Times New Roman" w:hAnsi="Arial" w:cs="Arial"/>
          <w:sz w:val="20"/>
          <w:szCs w:val="20"/>
        </w:rPr>
        <w:t xml:space="preserve">uation and </w:t>
      </w:r>
      <w:r w:rsidR="0000778D">
        <w:rPr>
          <w:rFonts w:ascii="Arial" w:eastAsia="Times New Roman" w:hAnsi="Arial" w:cs="Arial"/>
          <w:sz w:val="20"/>
          <w:szCs w:val="20"/>
        </w:rPr>
        <w:t>ICRs</w:t>
      </w:r>
      <w:r>
        <w:rPr>
          <w:rFonts w:ascii="Arial" w:eastAsia="Times New Roman" w:hAnsi="Arial" w:cs="Arial"/>
          <w:sz w:val="20"/>
          <w:szCs w:val="20"/>
        </w:rPr>
        <w:t xml:space="preserve"> in addition to self-reported grant partner documents provided a</w:t>
      </w:r>
      <w:r w:rsidR="0000778D">
        <w:rPr>
          <w:rFonts w:ascii="Arial" w:eastAsia="Times New Roman" w:hAnsi="Arial" w:cs="Arial"/>
          <w:sz w:val="20"/>
          <w:szCs w:val="20"/>
        </w:rPr>
        <w:t xml:space="preserve"> balance </w:t>
      </w:r>
      <w:r>
        <w:rPr>
          <w:rFonts w:ascii="Arial" w:eastAsia="Times New Roman" w:hAnsi="Arial" w:cs="Arial"/>
          <w:sz w:val="20"/>
          <w:szCs w:val="20"/>
        </w:rPr>
        <w:t>of different perspectives and a means to address bias (although the quality and detail of evaluations and ICRs vary which is important to consider).</w:t>
      </w:r>
      <w:r w:rsidR="00047FD1">
        <w:rPr>
          <w:rFonts w:ascii="Arial" w:eastAsia="Times New Roman" w:hAnsi="Arial" w:cs="Arial"/>
          <w:sz w:val="20"/>
          <w:szCs w:val="20"/>
        </w:rPr>
        <w:t xml:space="preserve"> As mentioned above, the GPSA Secretariat’s exchanges and tacit knowledge from working </w:t>
      </w:r>
      <w:proofErr w:type="gramStart"/>
      <w:r w:rsidR="00047FD1">
        <w:rPr>
          <w:rFonts w:ascii="Arial" w:eastAsia="Times New Roman" w:hAnsi="Arial" w:cs="Arial"/>
          <w:sz w:val="20"/>
          <w:szCs w:val="20"/>
        </w:rPr>
        <w:t>hands-on</w:t>
      </w:r>
      <w:proofErr w:type="gramEnd"/>
      <w:r w:rsidR="00047FD1">
        <w:rPr>
          <w:rFonts w:ascii="Arial" w:eastAsia="Times New Roman" w:hAnsi="Arial" w:cs="Arial"/>
          <w:sz w:val="20"/>
          <w:szCs w:val="20"/>
        </w:rPr>
        <w:t xml:space="preserve"> with grant partners is also a useful source of evidence to draw upon in future exercises for triangulation and to expand the evidence base.</w:t>
      </w:r>
    </w:p>
    <w:p w14:paraId="74675B5D" w14:textId="672A1331" w:rsidR="00AF72E0" w:rsidRDefault="003E2061" w:rsidP="0054538E">
      <w:pPr>
        <w:pStyle w:val="ListParagraph"/>
        <w:numPr>
          <w:ilvl w:val="0"/>
          <w:numId w:val="12"/>
        </w:num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t>As the GPSA continues (</w:t>
      </w:r>
      <w:r w:rsidR="002F74B4">
        <w:rPr>
          <w:rFonts w:ascii="Arial" w:eastAsia="Times New Roman" w:hAnsi="Arial" w:cs="Arial"/>
          <w:sz w:val="20"/>
          <w:szCs w:val="20"/>
        </w:rPr>
        <w:t>including</w:t>
      </w:r>
      <w:r>
        <w:rPr>
          <w:rFonts w:ascii="Arial" w:eastAsia="Times New Roman" w:hAnsi="Arial" w:cs="Arial"/>
          <w:sz w:val="20"/>
          <w:szCs w:val="20"/>
        </w:rPr>
        <w:t xml:space="preserve"> in the current round 4), the ability to </w:t>
      </w:r>
      <w:r w:rsidR="00AF72E0">
        <w:rPr>
          <w:rFonts w:ascii="Arial" w:eastAsia="Times New Roman" w:hAnsi="Arial" w:cs="Arial"/>
          <w:sz w:val="20"/>
          <w:szCs w:val="20"/>
        </w:rPr>
        <w:t xml:space="preserve">conduct MERL on the operational indicators is expected to improve and become more </w:t>
      </w:r>
      <w:proofErr w:type="gramStart"/>
      <w:r w:rsidR="00AF72E0">
        <w:rPr>
          <w:rFonts w:ascii="Arial" w:eastAsia="Times New Roman" w:hAnsi="Arial" w:cs="Arial"/>
          <w:sz w:val="20"/>
          <w:szCs w:val="20"/>
        </w:rPr>
        <w:t>r</w:t>
      </w:r>
      <w:r w:rsidR="006327FD" w:rsidRPr="0000778D">
        <w:rPr>
          <w:rFonts w:ascii="Arial" w:eastAsia="Times New Roman" w:hAnsi="Arial" w:cs="Arial"/>
          <w:sz w:val="20"/>
          <w:szCs w:val="20"/>
        </w:rPr>
        <w:t>eliable</w:t>
      </w:r>
      <w:proofErr w:type="gramEnd"/>
      <w:r w:rsidR="006327FD" w:rsidRPr="0000778D">
        <w:rPr>
          <w:rFonts w:ascii="Arial" w:eastAsia="Times New Roman" w:hAnsi="Arial" w:cs="Arial"/>
          <w:sz w:val="20"/>
          <w:szCs w:val="20"/>
        </w:rPr>
        <w:t xml:space="preserve"> </w:t>
      </w:r>
      <w:r w:rsidR="00AF72E0">
        <w:rPr>
          <w:rFonts w:ascii="Arial" w:eastAsia="Times New Roman" w:hAnsi="Arial" w:cs="Arial"/>
          <w:sz w:val="20"/>
          <w:szCs w:val="20"/>
        </w:rPr>
        <w:t>since there will be the same (functional equivalent) indicators across all grants</w:t>
      </w:r>
      <w:r w:rsidR="00047FD1">
        <w:rPr>
          <w:rFonts w:ascii="Arial" w:eastAsia="Times New Roman" w:hAnsi="Arial" w:cs="Arial"/>
          <w:sz w:val="20"/>
          <w:szCs w:val="20"/>
        </w:rPr>
        <w:t>. Once the indicators are more standardized,</w:t>
      </w:r>
      <w:r w:rsidR="00AF72E0">
        <w:rPr>
          <w:rFonts w:ascii="Arial" w:eastAsia="Times New Roman" w:hAnsi="Arial" w:cs="Arial"/>
          <w:sz w:val="20"/>
          <w:szCs w:val="20"/>
        </w:rPr>
        <w:t xml:space="preserve"> th</w:t>
      </w:r>
      <w:r w:rsidR="00047FD1">
        <w:rPr>
          <w:rFonts w:ascii="Arial" w:eastAsia="Times New Roman" w:hAnsi="Arial" w:cs="Arial"/>
          <w:sz w:val="20"/>
          <w:szCs w:val="20"/>
        </w:rPr>
        <w:t>ey</w:t>
      </w:r>
      <w:r w:rsidR="00AF72E0">
        <w:rPr>
          <w:rFonts w:ascii="Arial" w:eastAsia="Times New Roman" w:hAnsi="Arial" w:cs="Arial"/>
          <w:sz w:val="20"/>
          <w:szCs w:val="20"/>
        </w:rPr>
        <w:t xml:space="preserve"> can </w:t>
      </w:r>
      <w:proofErr w:type="gramStart"/>
      <w:r w:rsidR="00AF72E0">
        <w:rPr>
          <w:rFonts w:ascii="Arial" w:eastAsia="Times New Roman" w:hAnsi="Arial" w:cs="Arial"/>
          <w:sz w:val="20"/>
          <w:szCs w:val="20"/>
        </w:rPr>
        <w:t>be measured</w:t>
      </w:r>
      <w:proofErr w:type="gramEnd"/>
      <w:r w:rsidR="00AF72E0">
        <w:rPr>
          <w:rFonts w:ascii="Arial" w:eastAsia="Times New Roman" w:hAnsi="Arial" w:cs="Arial"/>
          <w:sz w:val="20"/>
          <w:szCs w:val="20"/>
        </w:rPr>
        <w:t xml:space="preserve"> in similar ways </w:t>
      </w:r>
      <w:r w:rsidR="00F96282">
        <w:rPr>
          <w:rFonts w:ascii="Arial" w:eastAsia="Times New Roman" w:hAnsi="Arial" w:cs="Arial"/>
          <w:sz w:val="20"/>
          <w:szCs w:val="20"/>
        </w:rPr>
        <w:t>according to</w:t>
      </w:r>
      <w:r w:rsidR="00AF72E0">
        <w:rPr>
          <w:rFonts w:ascii="Arial" w:eastAsia="Times New Roman" w:hAnsi="Arial" w:cs="Arial"/>
          <w:sz w:val="20"/>
          <w:szCs w:val="20"/>
        </w:rPr>
        <w:t xml:space="preserve"> the MERL Guide</w:t>
      </w:r>
      <w:r w:rsidR="00047FD1">
        <w:rPr>
          <w:rFonts w:ascii="Arial" w:eastAsia="Times New Roman" w:hAnsi="Arial" w:cs="Arial"/>
          <w:sz w:val="20"/>
          <w:szCs w:val="20"/>
        </w:rPr>
        <w:t xml:space="preserve">. At the same time, grant partner </w:t>
      </w:r>
      <w:r w:rsidR="00AF72E0">
        <w:rPr>
          <w:rFonts w:ascii="Arial" w:eastAsia="Times New Roman" w:hAnsi="Arial" w:cs="Arial"/>
          <w:sz w:val="20"/>
          <w:szCs w:val="20"/>
        </w:rPr>
        <w:t>project</w:t>
      </w:r>
      <w:r w:rsidR="006327FD" w:rsidRPr="0000778D">
        <w:rPr>
          <w:rFonts w:ascii="Arial" w:eastAsia="Times New Roman" w:hAnsi="Arial" w:cs="Arial"/>
          <w:sz w:val="20"/>
          <w:szCs w:val="20"/>
        </w:rPr>
        <w:t xml:space="preserve"> MERL system design, primary </w:t>
      </w:r>
      <w:r w:rsidR="00AF72E0">
        <w:rPr>
          <w:rFonts w:ascii="Arial" w:eastAsia="Times New Roman" w:hAnsi="Arial" w:cs="Arial"/>
          <w:sz w:val="20"/>
          <w:szCs w:val="20"/>
        </w:rPr>
        <w:t>and</w:t>
      </w:r>
      <w:r w:rsidR="006327FD" w:rsidRPr="0000778D">
        <w:rPr>
          <w:rFonts w:ascii="Arial" w:eastAsia="Times New Roman" w:hAnsi="Arial" w:cs="Arial"/>
          <w:sz w:val="20"/>
          <w:szCs w:val="20"/>
        </w:rPr>
        <w:t xml:space="preserve"> secondary data</w:t>
      </w:r>
      <w:r w:rsidR="00AF72E0">
        <w:rPr>
          <w:rFonts w:ascii="Arial" w:eastAsia="Times New Roman" w:hAnsi="Arial" w:cs="Arial"/>
          <w:sz w:val="20"/>
          <w:szCs w:val="20"/>
        </w:rPr>
        <w:t xml:space="preserve"> will be aligned to enable more accurate, </w:t>
      </w:r>
      <w:proofErr w:type="gramStart"/>
      <w:r w:rsidR="00AF72E0">
        <w:rPr>
          <w:rFonts w:ascii="Arial" w:eastAsia="Times New Roman" w:hAnsi="Arial" w:cs="Arial"/>
          <w:sz w:val="20"/>
          <w:szCs w:val="20"/>
        </w:rPr>
        <w:t>robust</w:t>
      </w:r>
      <w:proofErr w:type="gramEnd"/>
      <w:r w:rsidR="00AF72E0">
        <w:rPr>
          <w:rFonts w:ascii="Arial" w:eastAsia="Times New Roman" w:hAnsi="Arial" w:cs="Arial"/>
          <w:sz w:val="20"/>
          <w:szCs w:val="20"/>
        </w:rPr>
        <w:t xml:space="preserve"> and ongoing MERL of these operational indicators.</w:t>
      </w:r>
      <w:r w:rsidR="00047FD1">
        <w:rPr>
          <w:rFonts w:ascii="Arial" w:eastAsia="Times New Roman" w:hAnsi="Arial" w:cs="Arial"/>
          <w:sz w:val="20"/>
          <w:szCs w:val="20"/>
        </w:rPr>
        <w:t xml:space="preserve"> However, this also depends on a well-resourced MERL budget and recruiting MERL consultants throughout the project life that are of a sufficient quality and bring the requisite understanding and experience in the social accountability field. </w:t>
      </w:r>
    </w:p>
    <w:p w14:paraId="0BDF6891" w14:textId="515AFABA" w:rsidR="00AF72E0" w:rsidRDefault="00AF72E0" w:rsidP="0054538E">
      <w:pPr>
        <w:pStyle w:val="ListParagraph"/>
        <w:numPr>
          <w:ilvl w:val="0"/>
          <w:numId w:val="12"/>
        </w:num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t xml:space="preserve">This process also </w:t>
      </w:r>
      <w:r w:rsidR="002F74B4">
        <w:rPr>
          <w:rFonts w:ascii="Arial" w:eastAsia="Times New Roman" w:hAnsi="Arial" w:cs="Arial"/>
          <w:sz w:val="20"/>
          <w:szCs w:val="20"/>
        </w:rPr>
        <w:t>demonstrates</w:t>
      </w:r>
      <w:r>
        <w:rPr>
          <w:rFonts w:ascii="Arial" w:eastAsia="Times New Roman" w:hAnsi="Arial" w:cs="Arial"/>
          <w:sz w:val="20"/>
          <w:szCs w:val="20"/>
        </w:rPr>
        <w:t xml:space="preserve"> that</w:t>
      </w:r>
      <w:r w:rsidR="005934EE">
        <w:rPr>
          <w:rFonts w:ascii="Arial" w:eastAsia="Times New Roman" w:hAnsi="Arial" w:cs="Arial"/>
          <w:sz w:val="20"/>
          <w:szCs w:val="20"/>
        </w:rPr>
        <w:t xml:space="preserve"> </w:t>
      </w:r>
      <w:r>
        <w:rPr>
          <w:rFonts w:ascii="Arial" w:eastAsia="Times New Roman" w:hAnsi="Arial" w:cs="Arial"/>
          <w:sz w:val="20"/>
          <w:szCs w:val="20"/>
        </w:rPr>
        <w:t>it is un</w:t>
      </w:r>
      <w:r w:rsidR="005934EE">
        <w:rPr>
          <w:rFonts w:ascii="Arial" w:eastAsia="Times New Roman" w:hAnsi="Arial" w:cs="Arial"/>
          <w:sz w:val="20"/>
          <w:szCs w:val="20"/>
        </w:rPr>
        <w:t xml:space="preserve">necessary </w:t>
      </w:r>
      <w:r>
        <w:rPr>
          <w:rFonts w:ascii="Arial" w:eastAsia="Times New Roman" w:hAnsi="Arial" w:cs="Arial"/>
          <w:sz w:val="20"/>
          <w:szCs w:val="20"/>
        </w:rPr>
        <w:t xml:space="preserve">for GPSA projects to include more than a base set of key indicators to meaningfully assess and track results, performance and </w:t>
      </w:r>
      <w:r w:rsidR="002F74B4">
        <w:rPr>
          <w:rFonts w:ascii="Arial" w:eastAsia="Times New Roman" w:hAnsi="Arial" w:cs="Arial"/>
          <w:sz w:val="20"/>
          <w:szCs w:val="20"/>
        </w:rPr>
        <w:t>learning</w:t>
      </w:r>
      <w:r>
        <w:rPr>
          <w:rFonts w:ascii="Arial" w:eastAsia="Times New Roman" w:hAnsi="Arial" w:cs="Arial"/>
          <w:sz w:val="20"/>
          <w:szCs w:val="20"/>
        </w:rPr>
        <w:t xml:space="preserve"> </w:t>
      </w:r>
      <w:r w:rsidR="002F74B4">
        <w:rPr>
          <w:rFonts w:ascii="Arial" w:eastAsia="Times New Roman" w:hAnsi="Arial" w:cs="Arial"/>
          <w:sz w:val="20"/>
          <w:szCs w:val="20"/>
        </w:rPr>
        <w:t>against</w:t>
      </w:r>
      <w:r>
        <w:rPr>
          <w:rFonts w:ascii="Arial" w:eastAsia="Times New Roman" w:hAnsi="Arial" w:cs="Arial"/>
          <w:sz w:val="20"/>
          <w:szCs w:val="20"/>
        </w:rPr>
        <w:t xml:space="preserve"> the GPSA </w:t>
      </w:r>
      <w:r w:rsidR="002F74B4">
        <w:rPr>
          <w:rFonts w:ascii="Arial" w:eastAsia="Times New Roman" w:hAnsi="Arial" w:cs="Arial"/>
          <w:sz w:val="20"/>
          <w:szCs w:val="20"/>
        </w:rPr>
        <w:t>Results</w:t>
      </w:r>
      <w:r>
        <w:rPr>
          <w:rFonts w:ascii="Arial" w:eastAsia="Times New Roman" w:hAnsi="Arial" w:cs="Arial"/>
          <w:sz w:val="20"/>
          <w:szCs w:val="20"/>
        </w:rPr>
        <w:t xml:space="preserve"> Framework and Theory of Action. </w:t>
      </w:r>
      <w:proofErr w:type="gramStart"/>
      <w:r>
        <w:rPr>
          <w:rFonts w:ascii="Arial" w:eastAsia="Times New Roman" w:hAnsi="Arial" w:cs="Arial"/>
          <w:sz w:val="20"/>
          <w:szCs w:val="20"/>
        </w:rPr>
        <w:t>Several of</w:t>
      </w:r>
      <w:proofErr w:type="gramEnd"/>
      <w:r>
        <w:rPr>
          <w:rFonts w:ascii="Arial" w:eastAsia="Times New Roman" w:hAnsi="Arial" w:cs="Arial"/>
          <w:sz w:val="20"/>
          <w:szCs w:val="20"/>
        </w:rPr>
        <w:t xml:space="preserve"> the projects in the sample had many indicators (20+) which stretches limited MERL resources and places more burden on the project grant partners than required. </w:t>
      </w:r>
    </w:p>
    <w:p w14:paraId="1F2CFD19" w14:textId="3B22E15C" w:rsidR="006327FD" w:rsidRDefault="00AF72E0" w:rsidP="0054538E">
      <w:pPr>
        <w:pStyle w:val="ListParagraph"/>
        <w:numPr>
          <w:ilvl w:val="0"/>
          <w:numId w:val="12"/>
        </w:num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t xml:space="preserve">This process </w:t>
      </w:r>
      <w:proofErr w:type="gramStart"/>
      <w:r>
        <w:rPr>
          <w:rFonts w:ascii="Arial" w:eastAsia="Times New Roman" w:hAnsi="Arial" w:cs="Arial"/>
          <w:sz w:val="20"/>
          <w:szCs w:val="20"/>
        </w:rPr>
        <w:t>is also expected</w:t>
      </w:r>
      <w:proofErr w:type="gramEnd"/>
      <w:r>
        <w:rPr>
          <w:rFonts w:ascii="Arial" w:eastAsia="Times New Roman" w:hAnsi="Arial" w:cs="Arial"/>
          <w:sz w:val="20"/>
          <w:szCs w:val="20"/>
        </w:rPr>
        <w:t xml:space="preserve"> to become more routine and easier as</w:t>
      </w:r>
      <w:r w:rsidR="005934EE">
        <w:rPr>
          <w:rFonts w:ascii="Arial" w:eastAsia="Times New Roman" w:hAnsi="Arial" w:cs="Arial"/>
          <w:sz w:val="20"/>
          <w:szCs w:val="20"/>
        </w:rPr>
        <w:t xml:space="preserve"> grant</w:t>
      </w:r>
      <w:r>
        <w:rPr>
          <w:rFonts w:ascii="Arial" w:eastAsia="Times New Roman" w:hAnsi="Arial" w:cs="Arial"/>
          <w:sz w:val="20"/>
          <w:szCs w:val="20"/>
        </w:rPr>
        <w:t xml:space="preserve"> </w:t>
      </w:r>
      <w:r w:rsidR="002F74B4">
        <w:rPr>
          <w:rFonts w:ascii="Arial" w:eastAsia="Times New Roman" w:hAnsi="Arial" w:cs="Arial"/>
          <w:sz w:val="20"/>
          <w:szCs w:val="20"/>
        </w:rPr>
        <w:t>partners</w:t>
      </w:r>
      <w:r>
        <w:rPr>
          <w:rFonts w:ascii="Arial" w:eastAsia="Times New Roman" w:hAnsi="Arial" w:cs="Arial"/>
          <w:sz w:val="20"/>
          <w:szCs w:val="20"/>
        </w:rPr>
        <w:t xml:space="preserve">, their </w:t>
      </w:r>
      <w:r w:rsidR="005934EE">
        <w:rPr>
          <w:rFonts w:ascii="Arial" w:eastAsia="Times New Roman" w:hAnsi="Arial" w:cs="Arial"/>
          <w:sz w:val="20"/>
          <w:szCs w:val="20"/>
        </w:rPr>
        <w:t>MERL consultants</w:t>
      </w:r>
      <w:r>
        <w:rPr>
          <w:rFonts w:ascii="Arial" w:eastAsia="Times New Roman" w:hAnsi="Arial" w:cs="Arial"/>
          <w:sz w:val="20"/>
          <w:szCs w:val="20"/>
        </w:rPr>
        <w:t xml:space="preserve"> and the </w:t>
      </w:r>
      <w:r w:rsidR="005934EE">
        <w:rPr>
          <w:rFonts w:ascii="Arial" w:eastAsia="Times New Roman" w:hAnsi="Arial" w:cs="Arial"/>
          <w:sz w:val="20"/>
          <w:szCs w:val="20"/>
        </w:rPr>
        <w:t>GPSA staff become familiar</w:t>
      </w:r>
      <w:r>
        <w:rPr>
          <w:rFonts w:ascii="Arial" w:eastAsia="Times New Roman" w:hAnsi="Arial" w:cs="Arial"/>
          <w:sz w:val="20"/>
          <w:szCs w:val="20"/>
        </w:rPr>
        <w:t xml:space="preserve"> with the Results Framework and MERL Guide over time with use of the aligned indicators and methodology</w:t>
      </w:r>
      <w:r w:rsidR="00047FD1">
        <w:rPr>
          <w:rFonts w:ascii="Arial" w:eastAsia="Times New Roman" w:hAnsi="Arial" w:cs="Arial"/>
          <w:sz w:val="20"/>
          <w:szCs w:val="20"/>
        </w:rPr>
        <w:t>, provided that sufficient MERL resources are available at the project and portfolio level</w:t>
      </w:r>
      <w:r>
        <w:rPr>
          <w:rFonts w:ascii="Arial" w:eastAsia="Times New Roman" w:hAnsi="Arial" w:cs="Arial"/>
          <w:sz w:val="20"/>
          <w:szCs w:val="20"/>
        </w:rPr>
        <w:t>.</w:t>
      </w:r>
    </w:p>
    <w:p w14:paraId="0A530AF8" w14:textId="000560AA" w:rsidR="008162C2" w:rsidRPr="00AF72E0" w:rsidRDefault="00AF72E0" w:rsidP="00AF72E0">
      <w:pPr>
        <w:pStyle w:val="ListParagraph"/>
        <w:numPr>
          <w:ilvl w:val="0"/>
          <w:numId w:val="12"/>
        </w:numPr>
        <w:tabs>
          <w:tab w:val="left" w:pos="810"/>
        </w:tabs>
        <w:autoSpaceDE w:val="0"/>
        <w:autoSpaceDN w:val="0"/>
        <w:adjustRightInd w:val="0"/>
        <w:spacing w:before="120" w:after="120" w:line="240" w:lineRule="auto"/>
        <w:ind w:right="-90"/>
        <w:jc w:val="both"/>
        <w:rPr>
          <w:rFonts w:ascii="Arial" w:eastAsia="Times New Roman" w:hAnsi="Arial" w:cs="Arial"/>
          <w:sz w:val="20"/>
          <w:szCs w:val="20"/>
        </w:rPr>
      </w:pPr>
      <w:r>
        <w:rPr>
          <w:rFonts w:ascii="Arial" w:eastAsia="Times New Roman" w:hAnsi="Arial" w:cs="Arial"/>
          <w:sz w:val="20"/>
          <w:szCs w:val="20"/>
        </w:rPr>
        <w:t xml:space="preserve">This exercise also indicated where there could be </w:t>
      </w:r>
      <w:proofErr w:type="gramStart"/>
      <w:r>
        <w:rPr>
          <w:rFonts w:ascii="Arial" w:eastAsia="Times New Roman" w:hAnsi="Arial" w:cs="Arial"/>
          <w:sz w:val="20"/>
          <w:szCs w:val="20"/>
        </w:rPr>
        <w:t>some</w:t>
      </w:r>
      <w:proofErr w:type="gramEnd"/>
      <w:r>
        <w:rPr>
          <w:rFonts w:ascii="Arial" w:eastAsia="Times New Roman" w:hAnsi="Arial" w:cs="Arial"/>
          <w:sz w:val="20"/>
          <w:szCs w:val="20"/>
        </w:rPr>
        <w:t xml:space="preserve"> adjustment or </w:t>
      </w:r>
      <w:r w:rsidR="00E13BDB">
        <w:rPr>
          <w:rFonts w:ascii="Arial" w:eastAsia="Times New Roman" w:hAnsi="Arial" w:cs="Arial"/>
          <w:sz w:val="20"/>
          <w:szCs w:val="20"/>
        </w:rPr>
        <w:t xml:space="preserve">editing of the MERL Guide indicators methods in the future as it will continue to be iterated over time. It </w:t>
      </w:r>
      <w:proofErr w:type="gramStart"/>
      <w:r w:rsidR="00E13BDB">
        <w:rPr>
          <w:rFonts w:ascii="Arial" w:eastAsia="Times New Roman" w:hAnsi="Arial" w:cs="Arial"/>
          <w:sz w:val="20"/>
          <w:szCs w:val="20"/>
        </w:rPr>
        <w:t>is suggested</w:t>
      </w:r>
      <w:proofErr w:type="gramEnd"/>
      <w:r w:rsidR="00E13BDB">
        <w:rPr>
          <w:rFonts w:ascii="Arial" w:eastAsia="Times New Roman" w:hAnsi="Arial" w:cs="Arial"/>
          <w:sz w:val="20"/>
          <w:szCs w:val="20"/>
        </w:rPr>
        <w:t xml:space="preserve"> to keep </w:t>
      </w:r>
      <w:r w:rsidR="00047FD1">
        <w:rPr>
          <w:rFonts w:ascii="Arial" w:eastAsia="Times New Roman" w:hAnsi="Arial" w:cs="Arial"/>
          <w:sz w:val="20"/>
          <w:szCs w:val="20"/>
        </w:rPr>
        <w:t>the indicators</w:t>
      </w:r>
      <w:r w:rsidR="00E13BDB">
        <w:rPr>
          <w:rFonts w:ascii="Arial" w:eastAsia="Times New Roman" w:hAnsi="Arial" w:cs="Arial"/>
          <w:sz w:val="20"/>
          <w:szCs w:val="20"/>
        </w:rPr>
        <w:t xml:space="preserve"> </w:t>
      </w:r>
      <w:r w:rsidR="00047FD1">
        <w:rPr>
          <w:rFonts w:ascii="Arial" w:eastAsia="Times New Roman" w:hAnsi="Arial" w:cs="Arial"/>
          <w:sz w:val="20"/>
          <w:szCs w:val="20"/>
        </w:rPr>
        <w:t xml:space="preserve">and their methods </w:t>
      </w:r>
      <w:r w:rsidR="00E13BDB">
        <w:rPr>
          <w:rFonts w:ascii="Arial" w:eastAsia="Times New Roman" w:hAnsi="Arial" w:cs="Arial"/>
          <w:sz w:val="20"/>
          <w:szCs w:val="20"/>
        </w:rPr>
        <w:t xml:space="preserve">as is for the current round of GPSA projects since it has already </w:t>
      </w:r>
      <w:r w:rsidR="00772B25">
        <w:rPr>
          <w:rFonts w:ascii="Arial" w:eastAsia="Times New Roman" w:hAnsi="Arial" w:cs="Arial"/>
          <w:sz w:val="20"/>
          <w:szCs w:val="20"/>
        </w:rPr>
        <w:t>started,</w:t>
      </w:r>
      <w:r w:rsidR="00E13BDB">
        <w:rPr>
          <w:rFonts w:ascii="Arial" w:eastAsia="Times New Roman" w:hAnsi="Arial" w:cs="Arial"/>
          <w:sz w:val="20"/>
          <w:szCs w:val="20"/>
        </w:rPr>
        <w:t xml:space="preserve"> and considerable effort and time went into the MERL Guide and </w:t>
      </w:r>
      <w:r w:rsidR="002F74B4">
        <w:rPr>
          <w:rFonts w:ascii="Arial" w:eastAsia="Times New Roman" w:hAnsi="Arial" w:cs="Arial"/>
          <w:sz w:val="20"/>
          <w:szCs w:val="20"/>
        </w:rPr>
        <w:t>updated</w:t>
      </w:r>
      <w:r w:rsidR="00E13BDB">
        <w:rPr>
          <w:rFonts w:ascii="Arial" w:eastAsia="Times New Roman" w:hAnsi="Arial" w:cs="Arial"/>
          <w:sz w:val="20"/>
          <w:szCs w:val="20"/>
        </w:rPr>
        <w:t xml:space="preserve"> Results </w:t>
      </w:r>
      <w:r w:rsidR="00772B25">
        <w:rPr>
          <w:rFonts w:ascii="Arial" w:eastAsia="Times New Roman" w:hAnsi="Arial" w:cs="Arial"/>
          <w:sz w:val="20"/>
          <w:szCs w:val="20"/>
        </w:rPr>
        <w:t>Framework</w:t>
      </w:r>
      <w:r w:rsidR="00595951">
        <w:rPr>
          <w:rFonts w:ascii="Arial" w:eastAsia="Times New Roman" w:hAnsi="Arial" w:cs="Arial"/>
          <w:sz w:val="20"/>
          <w:szCs w:val="20"/>
        </w:rPr>
        <w:t>. More</w:t>
      </w:r>
      <w:r w:rsidR="00E13BDB">
        <w:rPr>
          <w:rFonts w:ascii="Arial" w:eastAsia="Times New Roman" w:hAnsi="Arial" w:cs="Arial"/>
          <w:sz w:val="20"/>
          <w:szCs w:val="20"/>
        </w:rPr>
        <w:t xml:space="preserve"> testing of the current version </w:t>
      </w:r>
      <w:proofErr w:type="gramStart"/>
      <w:r w:rsidR="00E13BDB">
        <w:rPr>
          <w:rFonts w:ascii="Arial" w:eastAsia="Times New Roman" w:hAnsi="Arial" w:cs="Arial"/>
          <w:sz w:val="20"/>
          <w:szCs w:val="20"/>
        </w:rPr>
        <w:t>is required</w:t>
      </w:r>
      <w:proofErr w:type="gramEnd"/>
      <w:r w:rsidR="00595951">
        <w:rPr>
          <w:rFonts w:ascii="Arial" w:eastAsia="Times New Roman" w:hAnsi="Arial" w:cs="Arial"/>
          <w:sz w:val="20"/>
          <w:szCs w:val="20"/>
        </w:rPr>
        <w:t xml:space="preserve"> and then updates can be well-justified and made</w:t>
      </w:r>
      <w:r w:rsidR="00E13BDB">
        <w:rPr>
          <w:rFonts w:ascii="Arial" w:eastAsia="Times New Roman" w:hAnsi="Arial" w:cs="Arial"/>
          <w:sz w:val="20"/>
          <w:szCs w:val="20"/>
        </w:rPr>
        <w:t xml:space="preserve">. </w:t>
      </w:r>
      <w:r w:rsidR="00772B25">
        <w:rPr>
          <w:rFonts w:ascii="Arial" w:eastAsia="Times New Roman" w:hAnsi="Arial" w:cs="Arial"/>
          <w:sz w:val="20"/>
          <w:szCs w:val="20"/>
        </w:rPr>
        <w:t>However,</w:t>
      </w:r>
      <w:r w:rsidR="00E13BDB">
        <w:rPr>
          <w:rFonts w:ascii="Arial" w:eastAsia="Times New Roman" w:hAnsi="Arial" w:cs="Arial"/>
          <w:sz w:val="20"/>
          <w:szCs w:val="20"/>
        </w:rPr>
        <w:t xml:space="preserve"> this document provides </w:t>
      </w:r>
      <w:proofErr w:type="gramStart"/>
      <w:r w:rsidR="00E13BDB">
        <w:rPr>
          <w:rFonts w:ascii="Arial" w:eastAsia="Times New Roman" w:hAnsi="Arial" w:cs="Arial"/>
          <w:sz w:val="20"/>
          <w:szCs w:val="20"/>
        </w:rPr>
        <w:t>some</w:t>
      </w:r>
      <w:proofErr w:type="gramEnd"/>
      <w:r w:rsidR="00E13BDB">
        <w:rPr>
          <w:rFonts w:ascii="Arial" w:eastAsia="Times New Roman" w:hAnsi="Arial" w:cs="Arial"/>
          <w:sz w:val="20"/>
          <w:szCs w:val="20"/>
        </w:rPr>
        <w:t xml:space="preserve"> </w:t>
      </w:r>
      <w:r w:rsidR="002F74B4">
        <w:rPr>
          <w:rFonts w:ascii="Arial" w:eastAsia="Times New Roman" w:hAnsi="Arial" w:cs="Arial"/>
          <w:sz w:val="20"/>
          <w:szCs w:val="20"/>
        </w:rPr>
        <w:t>reflections</w:t>
      </w:r>
      <w:r w:rsidR="00E13BDB">
        <w:rPr>
          <w:rFonts w:ascii="Arial" w:eastAsia="Times New Roman" w:hAnsi="Arial" w:cs="Arial"/>
          <w:sz w:val="20"/>
          <w:szCs w:val="20"/>
        </w:rPr>
        <w:t xml:space="preserve"> on changes that could be considered in future iterations.</w:t>
      </w:r>
    </w:p>
    <w:tbl>
      <w:tblPr>
        <w:tblStyle w:val="TableGrid"/>
        <w:tblpPr w:leftFromText="180" w:rightFromText="180" w:vertAnchor="text" w:tblpY="-1318"/>
        <w:tblW w:w="0" w:type="auto"/>
        <w:tblLook w:val="04A0" w:firstRow="1" w:lastRow="0" w:firstColumn="1" w:lastColumn="0" w:noHBand="0" w:noVBand="1"/>
      </w:tblPr>
      <w:tblGrid>
        <w:gridCol w:w="1780"/>
        <w:gridCol w:w="2586"/>
        <w:gridCol w:w="2292"/>
        <w:gridCol w:w="2692"/>
      </w:tblGrid>
      <w:tr w:rsidR="00766FDB" w:rsidRPr="0046495C" w14:paraId="2CB1F006" w14:textId="77777777" w:rsidTr="005207A9">
        <w:tc>
          <w:tcPr>
            <w:tcW w:w="1780" w:type="dxa"/>
          </w:tcPr>
          <w:p w14:paraId="03171E9D" w14:textId="77777777" w:rsidR="00766FDB" w:rsidRPr="003A7305" w:rsidRDefault="00766FDB" w:rsidP="00A82817">
            <w:pPr>
              <w:tabs>
                <w:tab w:val="left" w:pos="810"/>
              </w:tabs>
              <w:autoSpaceDE w:val="0"/>
              <w:autoSpaceDN w:val="0"/>
              <w:adjustRightInd w:val="0"/>
              <w:spacing w:before="120" w:after="120"/>
              <w:ind w:right="-90"/>
              <w:rPr>
                <w:rFonts w:ascii="Arial" w:eastAsia="Times New Roman" w:hAnsi="Arial" w:cs="Arial"/>
                <w:b/>
                <w:bCs/>
                <w:sz w:val="20"/>
                <w:szCs w:val="20"/>
              </w:rPr>
            </w:pPr>
            <w:r w:rsidRPr="003A7305">
              <w:rPr>
                <w:rFonts w:ascii="Arial" w:eastAsia="Times New Roman" w:hAnsi="Arial" w:cs="Arial"/>
                <w:b/>
                <w:bCs/>
                <w:sz w:val="20"/>
                <w:szCs w:val="20"/>
              </w:rPr>
              <w:lastRenderedPageBreak/>
              <w:t>Call for Proposals Round</w:t>
            </w:r>
          </w:p>
        </w:tc>
        <w:tc>
          <w:tcPr>
            <w:tcW w:w="2586" w:type="dxa"/>
          </w:tcPr>
          <w:p w14:paraId="28FE0F5B" w14:textId="77777777" w:rsidR="00766FDB" w:rsidRPr="003A7305" w:rsidRDefault="00766FDB" w:rsidP="00A82817">
            <w:pPr>
              <w:tabs>
                <w:tab w:val="left" w:pos="810"/>
              </w:tabs>
              <w:autoSpaceDE w:val="0"/>
              <w:autoSpaceDN w:val="0"/>
              <w:adjustRightInd w:val="0"/>
              <w:spacing w:before="120" w:after="120"/>
              <w:ind w:right="-90"/>
              <w:rPr>
                <w:rFonts w:ascii="Arial" w:eastAsia="Times New Roman" w:hAnsi="Arial" w:cs="Arial"/>
                <w:b/>
                <w:bCs/>
                <w:sz w:val="20"/>
                <w:szCs w:val="20"/>
              </w:rPr>
            </w:pPr>
            <w:r w:rsidRPr="003A7305">
              <w:rPr>
                <w:rFonts w:ascii="Arial" w:eastAsia="Times New Roman" w:hAnsi="Arial" w:cs="Arial"/>
                <w:b/>
                <w:bCs/>
                <w:sz w:val="20"/>
                <w:szCs w:val="20"/>
              </w:rPr>
              <w:t>Included in the sample</w:t>
            </w:r>
          </w:p>
        </w:tc>
        <w:tc>
          <w:tcPr>
            <w:tcW w:w="2292" w:type="dxa"/>
          </w:tcPr>
          <w:p w14:paraId="359FD0E1" w14:textId="77777777" w:rsidR="00766FDB" w:rsidRPr="003A7305" w:rsidRDefault="00766FDB" w:rsidP="00A82817">
            <w:pPr>
              <w:tabs>
                <w:tab w:val="left" w:pos="810"/>
              </w:tabs>
              <w:autoSpaceDE w:val="0"/>
              <w:autoSpaceDN w:val="0"/>
              <w:adjustRightInd w:val="0"/>
              <w:spacing w:before="120" w:after="120"/>
              <w:ind w:right="-90"/>
              <w:rPr>
                <w:rFonts w:ascii="Arial" w:eastAsia="Times New Roman" w:hAnsi="Arial" w:cs="Arial"/>
                <w:b/>
                <w:bCs/>
                <w:sz w:val="20"/>
                <w:szCs w:val="20"/>
              </w:rPr>
            </w:pPr>
            <w:r w:rsidRPr="003A7305">
              <w:rPr>
                <w:rFonts w:ascii="Arial" w:eastAsia="Times New Roman" w:hAnsi="Arial" w:cs="Arial"/>
                <w:b/>
                <w:bCs/>
                <w:sz w:val="20"/>
                <w:szCs w:val="20"/>
              </w:rPr>
              <w:t>Excluded from the Sample</w:t>
            </w:r>
          </w:p>
        </w:tc>
        <w:tc>
          <w:tcPr>
            <w:tcW w:w="2692" w:type="dxa"/>
          </w:tcPr>
          <w:p w14:paraId="4F1D28C5" w14:textId="77777777" w:rsidR="00766FDB" w:rsidRPr="003A7305" w:rsidRDefault="00766FDB" w:rsidP="00A82817">
            <w:pPr>
              <w:tabs>
                <w:tab w:val="left" w:pos="810"/>
              </w:tabs>
              <w:autoSpaceDE w:val="0"/>
              <w:autoSpaceDN w:val="0"/>
              <w:adjustRightInd w:val="0"/>
              <w:spacing w:before="120" w:after="120"/>
              <w:ind w:right="-90"/>
              <w:rPr>
                <w:rFonts w:ascii="Arial" w:eastAsia="Times New Roman" w:hAnsi="Arial" w:cs="Arial"/>
                <w:b/>
                <w:bCs/>
                <w:sz w:val="20"/>
                <w:szCs w:val="20"/>
              </w:rPr>
            </w:pPr>
            <w:r w:rsidRPr="003A7305">
              <w:rPr>
                <w:rFonts w:ascii="Arial" w:eastAsia="Times New Roman" w:hAnsi="Arial" w:cs="Arial"/>
                <w:b/>
                <w:bCs/>
                <w:sz w:val="20"/>
                <w:szCs w:val="20"/>
              </w:rPr>
              <w:t>Justification for exclusion</w:t>
            </w:r>
          </w:p>
        </w:tc>
      </w:tr>
      <w:tr w:rsidR="00766FDB" w:rsidRPr="0046495C" w14:paraId="66D7DD0E" w14:textId="77777777" w:rsidTr="005207A9">
        <w:tc>
          <w:tcPr>
            <w:tcW w:w="1780" w:type="dxa"/>
            <w:vMerge w:val="restart"/>
          </w:tcPr>
          <w:p w14:paraId="4151E395"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Round One</w:t>
            </w:r>
          </w:p>
        </w:tc>
        <w:tc>
          <w:tcPr>
            <w:tcW w:w="2586" w:type="dxa"/>
          </w:tcPr>
          <w:p w14:paraId="7D9496F4"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Concerned Citizens Philippines</w:t>
            </w:r>
          </w:p>
        </w:tc>
        <w:tc>
          <w:tcPr>
            <w:tcW w:w="2292" w:type="dxa"/>
          </w:tcPr>
          <w:p w14:paraId="487007F3"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CARE Bangladesh</w:t>
            </w:r>
          </w:p>
        </w:tc>
        <w:tc>
          <w:tcPr>
            <w:tcW w:w="2692" w:type="dxa"/>
            <w:vMerge w:val="restart"/>
          </w:tcPr>
          <w:p w14:paraId="0CEDD21E" w14:textId="77777777" w:rsidR="00766FDB" w:rsidRPr="00DE486E"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DE486E">
              <w:rPr>
                <w:rFonts w:ascii="Arial" w:eastAsia="Times New Roman" w:hAnsi="Arial" w:cs="Arial"/>
                <w:sz w:val="20"/>
                <w:szCs w:val="20"/>
              </w:rPr>
              <w:t>The excluded 4 projects d</w:t>
            </w:r>
            <w:r w:rsidRPr="00DE486E">
              <w:rPr>
                <w:rFonts w:ascii="Arial" w:eastAsia="Times New Roman" w:hAnsi="Arial" w:cs="Arial"/>
                <w:sz w:val="20"/>
                <w:szCs w:val="20"/>
                <w:lang w:val="en-US"/>
              </w:rPr>
              <w:t>o not have the min. docs of both ICR/final eval and minimal other reports</w:t>
            </w:r>
            <w:r w:rsidRPr="0046495C">
              <w:rPr>
                <w:rFonts w:ascii="Arial" w:eastAsia="Times New Roman" w:hAnsi="Arial" w:cs="Arial"/>
                <w:sz w:val="20"/>
                <w:szCs w:val="20"/>
                <w:lang w:val="en-US"/>
              </w:rPr>
              <w:t xml:space="preserve"> that would enable a feasible or meaningful coding.</w:t>
            </w:r>
          </w:p>
          <w:p w14:paraId="1AA27E66"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6741EA16" w14:textId="77777777" w:rsidTr="005207A9">
        <w:tc>
          <w:tcPr>
            <w:tcW w:w="1780" w:type="dxa"/>
            <w:vMerge/>
          </w:tcPr>
          <w:p w14:paraId="02483F4D"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28B11EF4"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Concern Mozambique</w:t>
            </w:r>
          </w:p>
        </w:tc>
        <w:tc>
          <w:tcPr>
            <w:tcW w:w="2292" w:type="dxa"/>
          </w:tcPr>
          <w:p w14:paraId="2DFD300A"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CARE Malawi</w:t>
            </w:r>
          </w:p>
        </w:tc>
        <w:tc>
          <w:tcPr>
            <w:tcW w:w="2692" w:type="dxa"/>
            <w:vMerge/>
          </w:tcPr>
          <w:p w14:paraId="6528BF5B"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606CB035" w14:textId="77777777" w:rsidTr="005207A9">
        <w:tc>
          <w:tcPr>
            <w:tcW w:w="1780" w:type="dxa"/>
            <w:vMerge/>
          </w:tcPr>
          <w:p w14:paraId="66BE3AA3"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2ADC6797" w14:textId="4FBC6816"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 xml:space="preserve">Expert </w:t>
            </w:r>
            <w:r w:rsidR="002F74B4" w:rsidRPr="0046495C">
              <w:rPr>
                <w:rFonts w:ascii="Arial" w:eastAsia="Times New Roman" w:hAnsi="Arial" w:cs="Arial"/>
                <w:sz w:val="20"/>
                <w:szCs w:val="20"/>
              </w:rPr>
              <w:t>Grup</w:t>
            </w:r>
            <w:r w:rsidRPr="0046495C">
              <w:rPr>
                <w:rFonts w:ascii="Arial" w:eastAsia="Times New Roman" w:hAnsi="Arial" w:cs="Arial"/>
                <w:sz w:val="20"/>
                <w:szCs w:val="20"/>
              </w:rPr>
              <w:t xml:space="preserve"> Moldova</w:t>
            </w:r>
          </w:p>
        </w:tc>
        <w:tc>
          <w:tcPr>
            <w:tcW w:w="2292" w:type="dxa"/>
          </w:tcPr>
          <w:p w14:paraId="647EE6AB"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DPI Kyrgyzstan</w:t>
            </w:r>
          </w:p>
        </w:tc>
        <w:tc>
          <w:tcPr>
            <w:tcW w:w="2692" w:type="dxa"/>
            <w:vMerge/>
          </w:tcPr>
          <w:p w14:paraId="73640DA7"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794869BE" w14:textId="77777777" w:rsidTr="005207A9">
        <w:tc>
          <w:tcPr>
            <w:tcW w:w="1780" w:type="dxa"/>
            <w:vMerge/>
          </w:tcPr>
          <w:p w14:paraId="44B0DADD"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4FC9228E"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MJF SEBA Bangladesh</w:t>
            </w:r>
          </w:p>
        </w:tc>
        <w:tc>
          <w:tcPr>
            <w:tcW w:w="2292" w:type="dxa"/>
          </w:tcPr>
          <w:p w14:paraId="723F8C5B"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Economic Justice Network Malawi</w:t>
            </w:r>
          </w:p>
        </w:tc>
        <w:tc>
          <w:tcPr>
            <w:tcW w:w="2692" w:type="dxa"/>
            <w:vMerge/>
          </w:tcPr>
          <w:p w14:paraId="0AF8790C"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462B3960" w14:textId="77777777" w:rsidTr="005207A9">
        <w:tc>
          <w:tcPr>
            <w:tcW w:w="1780" w:type="dxa"/>
            <w:vMerge/>
          </w:tcPr>
          <w:p w14:paraId="6A0D9A8D"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26EF0F3B" w14:textId="61CE1698"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Oxfam</w:t>
            </w:r>
            <w:r w:rsidR="00F8198E">
              <w:rPr>
                <w:rFonts w:ascii="Arial" w:eastAsia="Times New Roman" w:hAnsi="Arial" w:cs="Arial"/>
                <w:sz w:val="20"/>
                <w:szCs w:val="20"/>
              </w:rPr>
              <w:t xml:space="preserve"> Dominican</w:t>
            </w:r>
            <w:r w:rsidRPr="0046495C">
              <w:rPr>
                <w:rFonts w:ascii="Arial" w:eastAsia="Times New Roman" w:hAnsi="Arial" w:cs="Arial"/>
                <w:sz w:val="20"/>
                <w:szCs w:val="20"/>
              </w:rPr>
              <w:t xml:space="preserve"> Republic</w:t>
            </w:r>
          </w:p>
        </w:tc>
        <w:tc>
          <w:tcPr>
            <w:tcW w:w="2292" w:type="dxa"/>
          </w:tcPr>
          <w:p w14:paraId="3C281583"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692" w:type="dxa"/>
          </w:tcPr>
          <w:p w14:paraId="68CE1C94"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45CECB95" w14:textId="77777777" w:rsidTr="005207A9">
        <w:tc>
          <w:tcPr>
            <w:tcW w:w="1780" w:type="dxa"/>
            <w:vMerge/>
          </w:tcPr>
          <w:p w14:paraId="0344E907"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05AC5A28"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Oxfam Tajikistan</w:t>
            </w:r>
          </w:p>
        </w:tc>
        <w:tc>
          <w:tcPr>
            <w:tcW w:w="2292" w:type="dxa"/>
          </w:tcPr>
          <w:p w14:paraId="400B753E"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692" w:type="dxa"/>
          </w:tcPr>
          <w:p w14:paraId="129DABA6"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312ADA32" w14:textId="77777777" w:rsidTr="005207A9">
        <w:tc>
          <w:tcPr>
            <w:tcW w:w="1780" w:type="dxa"/>
            <w:vMerge/>
          </w:tcPr>
          <w:p w14:paraId="2964E986"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1F5F7DB8"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Wahani Visi Indonesia</w:t>
            </w:r>
          </w:p>
        </w:tc>
        <w:tc>
          <w:tcPr>
            <w:tcW w:w="2292" w:type="dxa"/>
          </w:tcPr>
          <w:p w14:paraId="2D66ACA0"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692" w:type="dxa"/>
          </w:tcPr>
          <w:p w14:paraId="56F9331E"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00428BE8" w14:textId="77777777" w:rsidTr="005207A9">
        <w:tc>
          <w:tcPr>
            <w:tcW w:w="1780" w:type="dxa"/>
            <w:vMerge w:val="restart"/>
          </w:tcPr>
          <w:p w14:paraId="540170E7"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Round Two</w:t>
            </w:r>
          </w:p>
        </w:tc>
        <w:tc>
          <w:tcPr>
            <w:tcW w:w="2586" w:type="dxa"/>
          </w:tcPr>
          <w:p w14:paraId="5655255C"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Africa Freedom of Information Center Uganda</w:t>
            </w:r>
          </w:p>
        </w:tc>
        <w:tc>
          <w:tcPr>
            <w:tcW w:w="2292" w:type="dxa"/>
          </w:tcPr>
          <w:p w14:paraId="1B87134A"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692" w:type="dxa"/>
          </w:tcPr>
          <w:p w14:paraId="27FBC1B2"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71378C74" w14:textId="77777777" w:rsidTr="005207A9">
        <w:tc>
          <w:tcPr>
            <w:tcW w:w="1780" w:type="dxa"/>
            <w:vMerge/>
          </w:tcPr>
          <w:p w14:paraId="13FDE647"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0E77DE9B"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CARE Maroc</w:t>
            </w:r>
          </w:p>
        </w:tc>
        <w:tc>
          <w:tcPr>
            <w:tcW w:w="2292" w:type="dxa"/>
          </w:tcPr>
          <w:p w14:paraId="27A3939E"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Center for Health Policies Moldova</w:t>
            </w:r>
          </w:p>
        </w:tc>
        <w:tc>
          <w:tcPr>
            <w:tcW w:w="2692" w:type="dxa"/>
            <w:vMerge w:val="restart"/>
          </w:tcPr>
          <w:p w14:paraId="4962DFFB"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The two excluded projects had either zero (Moldova) or almost zero (Tunisia) project documents on file and therefore not possible to review.</w:t>
            </w:r>
          </w:p>
        </w:tc>
      </w:tr>
      <w:tr w:rsidR="00766FDB" w:rsidRPr="0046495C" w14:paraId="61F3096F" w14:textId="77777777" w:rsidTr="005207A9">
        <w:tc>
          <w:tcPr>
            <w:tcW w:w="1780" w:type="dxa"/>
            <w:vMerge/>
          </w:tcPr>
          <w:p w14:paraId="7B142A09"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4F9D8AB0" w14:textId="77777777" w:rsidR="00766FDB" w:rsidRPr="003A7305"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lang w:val="fr-FR"/>
              </w:rPr>
            </w:pPr>
            <w:r w:rsidRPr="003A7305">
              <w:rPr>
                <w:rFonts w:ascii="Arial" w:eastAsia="Times New Roman" w:hAnsi="Arial" w:cs="Arial"/>
                <w:sz w:val="20"/>
                <w:szCs w:val="20"/>
                <w:lang w:val="fr-FR"/>
              </w:rPr>
              <w:t xml:space="preserve">Centro de Informacion y Recourses para el Desarrollo </w:t>
            </w:r>
            <w:r>
              <w:rPr>
                <w:rFonts w:ascii="Arial" w:eastAsia="Times New Roman" w:hAnsi="Arial" w:cs="Arial"/>
                <w:sz w:val="20"/>
                <w:szCs w:val="20"/>
                <w:lang w:val="fr-FR"/>
              </w:rPr>
              <w:t>Paraguay</w:t>
            </w:r>
          </w:p>
        </w:tc>
        <w:tc>
          <w:tcPr>
            <w:tcW w:w="2292" w:type="dxa"/>
          </w:tcPr>
          <w:p w14:paraId="69DE5FAC" w14:textId="721DE6BA" w:rsidR="00766FDB" w:rsidRPr="0046495C" w:rsidRDefault="00766FDB" w:rsidP="005207A9">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General Labour Union Tunisia</w:t>
            </w:r>
            <w:r w:rsidR="00F8198E">
              <w:rPr>
                <w:rFonts w:ascii="Arial" w:eastAsia="Times New Roman" w:hAnsi="Arial" w:cs="Arial"/>
                <w:sz w:val="20"/>
                <w:szCs w:val="20"/>
              </w:rPr>
              <w:t xml:space="preserve"> (this gran was closed early)</w:t>
            </w:r>
          </w:p>
        </w:tc>
        <w:tc>
          <w:tcPr>
            <w:tcW w:w="2692" w:type="dxa"/>
            <w:vMerge/>
          </w:tcPr>
          <w:p w14:paraId="13092C3E"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292F3DBC" w14:textId="77777777" w:rsidTr="005207A9">
        <w:tc>
          <w:tcPr>
            <w:tcW w:w="1780" w:type="dxa"/>
            <w:vMerge/>
          </w:tcPr>
          <w:p w14:paraId="43BDC908"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62D60C59"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Cordaid DRC</w:t>
            </w:r>
          </w:p>
        </w:tc>
        <w:tc>
          <w:tcPr>
            <w:tcW w:w="2292" w:type="dxa"/>
          </w:tcPr>
          <w:p w14:paraId="48A4A75F"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692" w:type="dxa"/>
          </w:tcPr>
          <w:p w14:paraId="6FB5B6B5"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27EB741A" w14:textId="77777777" w:rsidTr="005207A9">
        <w:tc>
          <w:tcPr>
            <w:tcW w:w="1780" w:type="dxa"/>
            <w:vMerge/>
          </w:tcPr>
          <w:p w14:paraId="14601211"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44A1D591"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Globe International Center Mongolia</w:t>
            </w:r>
          </w:p>
        </w:tc>
        <w:tc>
          <w:tcPr>
            <w:tcW w:w="2292" w:type="dxa"/>
          </w:tcPr>
          <w:p w14:paraId="0F8AE8C8"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692" w:type="dxa"/>
          </w:tcPr>
          <w:p w14:paraId="5F10F09C"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0FB1384F" w14:textId="77777777" w:rsidTr="005207A9">
        <w:tc>
          <w:tcPr>
            <w:tcW w:w="1780" w:type="dxa"/>
            <w:vMerge/>
          </w:tcPr>
          <w:p w14:paraId="0ED1E4B6"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253FD6BC"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SAHA Madagascar</w:t>
            </w:r>
          </w:p>
        </w:tc>
        <w:tc>
          <w:tcPr>
            <w:tcW w:w="2292" w:type="dxa"/>
          </w:tcPr>
          <w:p w14:paraId="1D1DC21E"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692" w:type="dxa"/>
          </w:tcPr>
          <w:p w14:paraId="19ACA7E2"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369F69E6" w14:textId="77777777" w:rsidTr="005207A9">
        <w:tc>
          <w:tcPr>
            <w:tcW w:w="1780" w:type="dxa"/>
            <w:vMerge w:val="restart"/>
          </w:tcPr>
          <w:p w14:paraId="1CC9F2D0"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Round Three</w:t>
            </w:r>
          </w:p>
        </w:tc>
        <w:tc>
          <w:tcPr>
            <w:tcW w:w="2586" w:type="dxa"/>
          </w:tcPr>
          <w:p w14:paraId="0A74CD50"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 xml:space="preserve">Save the Children Georgia </w:t>
            </w:r>
          </w:p>
        </w:tc>
        <w:tc>
          <w:tcPr>
            <w:tcW w:w="2292" w:type="dxa"/>
          </w:tcPr>
          <w:p w14:paraId="3DF52EEF"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Akatiga Indonesia</w:t>
            </w:r>
          </w:p>
        </w:tc>
        <w:tc>
          <w:tcPr>
            <w:tcW w:w="2692" w:type="dxa"/>
            <w:vMerge w:val="restart"/>
          </w:tcPr>
          <w:p w14:paraId="02165B7F" w14:textId="439717BF" w:rsidR="00766FDB" w:rsidRPr="00F443B0"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roofErr w:type="gramStart"/>
            <w:r w:rsidRPr="00F443B0">
              <w:rPr>
                <w:rFonts w:ascii="Arial" w:eastAsia="Times New Roman" w:hAnsi="Arial" w:cs="Arial"/>
                <w:sz w:val="20"/>
                <w:szCs w:val="20"/>
                <w:lang w:val="en-US"/>
              </w:rPr>
              <w:t>All of</w:t>
            </w:r>
            <w:proofErr w:type="gramEnd"/>
            <w:r w:rsidRPr="00F443B0">
              <w:rPr>
                <w:rFonts w:ascii="Arial" w:eastAsia="Times New Roman" w:hAnsi="Arial" w:cs="Arial"/>
                <w:sz w:val="20"/>
                <w:szCs w:val="20"/>
                <w:lang w:val="en-US"/>
              </w:rPr>
              <w:t xml:space="preserve"> the excluded projects </w:t>
            </w:r>
            <w:r w:rsidRPr="0046495C">
              <w:rPr>
                <w:rFonts w:ascii="Arial" w:eastAsia="Times New Roman" w:hAnsi="Arial" w:cs="Arial"/>
                <w:sz w:val="20"/>
                <w:szCs w:val="20"/>
                <w:lang w:val="en-US"/>
              </w:rPr>
              <w:t>do</w:t>
            </w:r>
            <w:r w:rsidRPr="00F443B0">
              <w:rPr>
                <w:rFonts w:ascii="Arial" w:eastAsia="Times New Roman" w:hAnsi="Arial" w:cs="Arial"/>
                <w:sz w:val="20"/>
                <w:szCs w:val="20"/>
                <w:lang w:val="en-US"/>
              </w:rPr>
              <w:t xml:space="preserve"> no</w:t>
            </w:r>
            <w:r w:rsidRPr="0046495C">
              <w:rPr>
                <w:rFonts w:ascii="Arial" w:eastAsia="Times New Roman" w:hAnsi="Arial" w:cs="Arial"/>
                <w:sz w:val="20"/>
                <w:szCs w:val="20"/>
                <w:lang w:val="en-US"/>
              </w:rPr>
              <w:t>t ha</w:t>
            </w:r>
            <w:r>
              <w:rPr>
                <w:rFonts w:ascii="Arial" w:eastAsia="Times New Roman" w:hAnsi="Arial" w:cs="Arial"/>
                <w:sz w:val="20"/>
                <w:szCs w:val="20"/>
                <w:lang w:val="en-US"/>
              </w:rPr>
              <w:t>v</w:t>
            </w:r>
            <w:r w:rsidRPr="0046495C">
              <w:rPr>
                <w:rFonts w:ascii="Arial" w:eastAsia="Times New Roman" w:hAnsi="Arial" w:cs="Arial"/>
                <w:sz w:val="20"/>
                <w:szCs w:val="20"/>
                <w:lang w:val="en-US"/>
              </w:rPr>
              <w:t>e an</w:t>
            </w:r>
            <w:r w:rsidRPr="00F443B0">
              <w:rPr>
                <w:rFonts w:ascii="Arial" w:eastAsia="Times New Roman" w:hAnsi="Arial" w:cs="Arial"/>
                <w:sz w:val="20"/>
                <w:szCs w:val="20"/>
                <w:lang w:val="en-US"/>
              </w:rPr>
              <w:t xml:space="preserve"> </w:t>
            </w:r>
            <w:r w:rsidR="00772B25" w:rsidRPr="00F443B0">
              <w:rPr>
                <w:rFonts w:ascii="Arial" w:eastAsia="Times New Roman" w:hAnsi="Arial" w:cs="Arial"/>
                <w:sz w:val="20"/>
                <w:szCs w:val="20"/>
                <w:lang w:val="en-US"/>
              </w:rPr>
              <w:t>ICR/final evaluation</w:t>
            </w:r>
            <w:r>
              <w:rPr>
                <w:rFonts w:ascii="Arial" w:eastAsia="Times New Roman" w:hAnsi="Arial" w:cs="Arial"/>
                <w:sz w:val="20"/>
                <w:szCs w:val="20"/>
                <w:lang w:val="en-US"/>
              </w:rPr>
              <w:t>.</w:t>
            </w:r>
            <w:r w:rsidRPr="00F443B0">
              <w:rPr>
                <w:rFonts w:ascii="Arial" w:eastAsia="Times New Roman" w:hAnsi="Arial" w:cs="Arial"/>
                <w:sz w:val="20"/>
                <w:szCs w:val="20"/>
                <w:lang w:val="en-US"/>
              </w:rPr>
              <w:t xml:space="preserve"> </w:t>
            </w:r>
            <w:r>
              <w:rPr>
                <w:rFonts w:ascii="Arial" w:eastAsia="Times New Roman" w:hAnsi="Arial" w:cs="Arial"/>
                <w:sz w:val="20"/>
                <w:szCs w:val="20"/>
                <w:lang w:val="en-US"/>
              </w:rPr>
              <w:t>Atatiga and YTSDE</w:t>
            </w:r>
            <w:r w:rsidRPr="00F443B0">
              <w:rPr>
                <w:rFonts w:ascii="Arial" w:eastAsia="Times New Roman" w:hAnsi="Arial" w:cs="Arial"/>
                <w:sz w:val="20"/>
                <w:szCs w:val="20"/>
                <w:lang w:val="en-US"/>
              </w:rPr>
              <w:t xml:space="preserve"> are still relatively early in their implementation </w:t>
            </w:r>
            <w:r>
              <w:rPr>
                <w:rFonts w:ascii="Arial" w:eastAsia="Times New Roman" w:hAnsi="Arial" w:cs="Arial"/>
                <w:sz w:val="20"/>
                <w:szCs w:val="20"/>
                <w:lang w:val="en-US"/>
              </w:rPr>
              <w:t>and have therefore not done enough reporting or other MERL documentation yet.</w:t>
            </w:r>
          </w:p>
          <w:p w14:paraId="2EC0D45B"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r>
      <w:tr w:rsidR="00766FDB" w:rsidRPr="0046495C" w14:paraId="34433BF1" w14:textId="77777777" w:rsidTr="005207A9">
        <w:tc>
          <w:tcPr>
            <w:tcW w:w="1780" w:type="dxa"/>
            <w:vMerge/>
          </w:tcPr>
          <w:p w14:paraId="1CAE67EF"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69D60B52"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SEND Ghana</w:t>
            </w:r>
          </w:p>
        </w:tc>
        <w:tc>
          <w:tcPr>
            <w:tcW w:w="2292" w:type="dxa"/>
          </w:tcPr>
          <w:p w14:paraId="537D3E47"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Eco-Dev Mauritania</w:t>
            </w:r>
          </w:p>
        </w:tc>
        <w:tc>
          <w:tcPr>
            <w:tcW w:w="2692" w:type="dxa"/>
            <w:vMerge/>
          </w:tcPr>
          <w:p w14:paraId="06CAFC71"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r>
      <w:tr w:rsidR="00766FDB" w:rsidRPr="0046495C" w14:paraId="1BFED41C" w14:textId="77777777" w:rsidTr="005207A9">
        <w:tc>
          <w:tcPr>
            <w:tcW w:w="1780" w:type="dxa"/>
            <w:vMerge/>
          </w:tcPr>
          <w:p w14:paraId="125F4B92"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6CE2CA4C"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292" w:type="dxa"/>
          </w:tcPr>
          <w:p w14:paraId="5377B088"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IBIS Sierra Leone</w:t>
            </w:r>
          </w:p>
        </w:tc>
        <w:tc>
          <w:tcPr>
            <w:tcW w:w="2692" w:type="dxa"/>
            <w:vMerge/>
          </w:tcPr>
          <w:p w14:paraId="31BC330A"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167F8177" w14:textId="77777777" w:rsidTr="005207A9">
        <w:tc>
          <w:tcPr>
            <w:tcW w:w="1780" w:type="dxa"/>
            <w:vMerge/>
          </w:tcPr>
          <w:p w14:paraId="1A1C08F8"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4090E0EB"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292" w:type="dxa"/>
          </w:tcPr>
          <w:p w14:paraId="11117483"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Search for Common Ground Guinea</w:t>
            </w:r>
          </w:p>
        </w:tc>
        <w:tc>
          <w:tcPr>
            <w:tcW w:w="2692" w:type="dxa"/>
            <w:vMerge/>
          </w:tcPr>
          <w:p w14:paraId="65AF7099"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r>
      <w:tr w:rsidR="00766FDB" w:rsidRPr="0046495C" w14:paraId="49FFD974" w14:textId="77777777" w:rsidTr="005207A9">
        <w:tc>
          <w:tcPr>
            <w:tcW w:w="1780" w:type="dxa"/>
            <w:vMerge/>
          </w:tcPr>
          <w:p w14:paraId="34966A94"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09837A06"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c>
          <w:tcPr>
            <w:tcW w:w="2292" w:type="dxa"/>
          </w:tcPr>
          <w:p w14:paraId="13ECEBE2"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Transparency International Rwanda</w:t>
            </w:r>
          </w:p>
        </w:tc>
        <w:tc>
          <w:tcPr>
            <w:tcW w:w="2692" w:type="dxa"/>
            <w:vMerge/>
          </w:tcPr>
          <w:p w14:paraId="0321FD52"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r>
      <w:tr w:rsidR="00766FDB" w:rsidRPr="0046495C" w14:paraId="1911F919" w14:textId="77777777" w:rsidTr="005207A9">
        <w:tc>
          <w:tcPr>
            <w:tcW w:w="1780" w:type="dxa"/>
            <w:vMerge/>
          </w:tcPr>
          <w:p w14:paraId="7746067D"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5473E7F7"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c>
          <w:tcPr>
            <w:tcW w:w="2292" w:type="dxa"/>
          </w:tcPr>
          <w:p w14:paraId="7D96C0A0"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World Vision Dominican Republic</w:t>
            </w:r>
          </w:p>
        </w:tc>
        <w:tc>
          <w:tcPr>
            <w:tcW w:w="2692" w:type="dxa"/>
            <w:vMerge/>
          </w:tcPr>
          <w:p w14:paraId="1B68A86C"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r>
      <w:tr w:rsidR="00766FDB" w:rsidRPr="0046495C" w14:paraId="45B61589" w14:textId="77777777" w:rsidTr="005207A9">
        <w:tc>
          <w:tcPr>
            <w:tcW w:w="1780" w:type="dxa"/>
            <w:vMerge/>
          </w:tcPr>
          <w:p w14:paraId="618E00F5"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tcPr>
          <w:p w14:paraId="1FC79EC8"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c>
          <w:tcPr>
            <w:tcW w:w="2292" w:type="dxa"/>
          </w:tcPr>
          <w:p w14:paraId="48232816"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YTSDE Indonesia</w:t>
            </w:r>
          </w:p>
        </w:tc>
        <w:tc>
          <w:tcPr>
            <w:tcW w:w="2692" w:type="dxa"/>
            <w:vMerge/>
          </w:tcPr>
          <w:p w14:paraId="07C5AE22"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r>
      <w:tr w:rsidR="00766FDB" w:rsidRPr="0046495C" w14:paraId="035A12AB" w14:textId="77777777" w:rsidTr="005207A9">
        <w:trPr>
          <w:trHeight w:val="425"/>
        </w:trPr>
        <w:tc>
          <w:tcPr>
            <w:tcW w:w="1780" w:type="dxa"/>
            <w:vMerge w:val="restart"/>
          </w:tcPr>
          <w:p w14:paraId="7564F1AC"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r w:rsidRPr="0046495C">
              <w:rPr>
                <w:rFonts w:ascii="Arial" w:eastAsia="Times New Roman" w:hAnsi="Arial" w:cs="Arial"/>
                <w:sz w:val="20"/>
                <w:szCs w:val="20"/>
              </w:rPr>
              <w:t>Round Four</w:t>
            </w:r>
          </w:p>
        </w:tc>
        <w:tc>
          <w:tcPr>
            <w:tcW w:w="2586" w:type="dxa"/>
            <w:vMerge w:val="restart"/>
          </w:tcPr>
          <w:p w14:paraId="3C984992"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46495C">
              <w:rPr>
                <w:rFonts w:ascii="Arial" w:eastAsia="Times New Roman" w:hAnsi="Arial" w:cs="Arial"/>
                <w:sz w:val="20"/>
                <w:szCs w:val="20"/>
              </w:rPr>
              <w:t>No projects included</w:t>
            </w:r>
          </w:p>
        </w:tc>
        <w:tc>
          <w:tcPr>
            <w:tcW w:w="2292" w:type="dxa"/>
          </w:tcPr>
          <w:p w14:paraId="394B4A12"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Pr>
                <w:rFonts w:ascii="Arial" w:eastAsia="Times New Roman" w:hAnsi="Arial" w:cs="Arial"/>
                <w:sz w:val="20"/>
                <w:szCs w:val="20"/>
              </w:rPr>
              <w:t>PWYP Indonesia</w:t>
            </w:r>
          </w:p>
        </w:tc>
        <w:tc>
          <w:tcPr>
            <w:tcW w:w="2692" w:type="dxa"/>
            <w:vMerge w:val="restart"/>
          </w:tcPr>
          <w:p w14:paraId="18655AD3"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sidRPr="00F443B0">
              <w:rPr>
                <w:rFonts w:ascii="Arial" w:eastAsia="Times New Roman" w:hAnsi="Arial" w:cs="Arial"/>
                <w:sz w:val="20"/>
                <w:szCs w:val="20"/>
              </w:rPr>
              <w:t xml:space="preserve">Round </w:t>
            </w:r>
            <w:r>
              <w:rPr>
                <w:rFonts w:ascii="Arial" w:eastAsia="Times New Roman" w:hAnsi="Arial" w:cs="Arial"/>
                <w:sz w:val="20"/>
                <w:szCs w:val="20"/>
              </w:rPr>
              <w:t>four</w:t>
            </w:r>
            <w:r w:rsidRPr="00F443B0">
              <w:rPr>
                <w:rFonts w:ascii="Arial" w:eastAsia="Times New Roman" w:hAnsi="Arial" w:cs="Arial"/>
                <w:sz w:val="20"/>
                <w:szCs w:val="20"/>
              </w:rPr>
              <w:t xml:space="preserve"> projects </w:t>
            </w:r>
            <w:r w:rsidRPr="0046495C">
              <w:rPr>
                <w:rFonts w:ascii="Arial" w:eastAsia="Times New Roman" w:hAnsi="Arial" w:cs="Arial"/>
                <w:sz w:val="20"/>
                <w:szCs w:val="20"/>
              </w:rPr>
              <w:t>are</w:t>
            </w:r>
            <w:r w:rsidRPr="00F443B0">
              <w:rPr>
                <w:rFonts w:ascii="Arial" w:eastAsia="Times New Roman" w:hAnsi="Arial" w:cs="Arial"/>
                <w:sz w:val="20"/>
                <w:szCs w:val="20"/>
              </w:rPr>
              <w:t xml:space="preserve"> not to be included because </w:t>
            </w:r>
            <w:r w:rsidRPr="0046495C">
              <w:rPr>
                <w:rFonts w:ascii="Arial" w:eastAsia="Times New Roman" w:hAnsi="Arial" w:cs="Arial"/>
                <w:sz w:val="20"/>
                <w:szCs w:val="20"/>
              </w:rPr>
              <w:t xml:space="preserve">at the time of the coding exercise </w:t>
            </w:r>
            <w:r w:rsidRPr="00F443B0">
              <w:rPr>
                <w:rFonts w:ascii="Arial" w:eastAsia="Times New Roman" w:hAnsi="Arial" w:cs="Arial"/>
                <w:sz w:val="20"/>
                <w:szCs w:val="20"/>
              </w:rPr>
              <w:t xml:space="preserve">they </w:t>
            </w:r>
            <w:r w:rsidRPr="0046495C">
              <w:rPr>
                <w:rFonts w:ascii="Arial" w:eastAsia="Times New Roman" w:hAnsi="Arial" w:cs="Arial"/>
                <w:sz w:val="20"/>
                <w:szCs w:val="20"/>
              </w:rPr>
              <w:t>were</w:t>
            </w:r>
            <w:r w:rsidRPr="00F443B0">
              <w:rPr>
                <w:rFonts w:ascii="Arial" w:eastAsia="Times New Roman" w:hAnsi="Arial" w:cs="Arial"/>
                <w:sz w:val="20"/>
                <w:szCs w:val="20"/>
              </w:rPr>
              <w:t xml:space="preserve"> too new</w:t>
            </w:r>
            <w:r w:rsidRPr="0046495C">
              <w:rPr>
                <w:rFonts w:ascii="Arial" w:eastAsia="Times New Roman" w:hAnsi="Arial" w:cs="Arial"/>
                <w:sz w:val="20"/>
                <w:szCs w:val="20"/>
              </w:rPr>
              <w:t xml:space="preserve"> </w:t>
            </w:r>
            <w:r w:rsidRPr="0046495C">
              <w:rPr>
                <w:rFonts w:ascii="Arial" w:eastAsia="Times New Roman" w:hAnsi="Arial" w:cs="Arial"/>
                <w:sz w:val="20"/>
                <w:szCs w:val="20"/>
              </w:rPr>
              <w:lastRenderedPageBreak/>
              <w:t>in their start-up/implementation and have no or very limited reporting and results to assess yet vis-à-vis the GPSA Results Framework.</w:t>
            </w:r>
          </w:p>
        </w:tc>
      </w:tr>
      <w:tr w:rsidR="00766FDB" w:rsidRPr="003908AF" w14:paraId="1FA6B768" w14:textId="77777777" w:rsidTr="005207A9">
        <w:trPr>
          <w:trHeight w:val="579"/>
        </w:trPr>
        <w:tc>
          <w:tcPr>
            <w:tcW w:w="1780" w:type="dxa"/>
            <w:vMerge/>
          </w:tcPr>
          <w:p w14:paraId="318ADE92"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vMerge/>
          </w:tcPr>
          <w:p w14:paraId="37896693"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c>
          <w:tcPr>
            <w:tcW w:w="2292" w:type="dxa"/>
          </w:tcPr>
          <w:p w14:paraId="2D30DF95" w14:textId="77777777" w:rsidR="00766FDB" w:rsidRPr="00752179" w:rsidRDefault="00766FDB" w:rsidP="00A82817">
            <w:pPr>
              <w:tabs>
                <w:tab w:val="left" w:pos="810"/>
              </w:tabs>
              <w:autoSpaceDE w:val="0"/>
              <w:autoSpaceDN w:val="0"/>
              <w:adjustRightInd w:val="0"/>
              <w:spacing w:before="120" w:after="120"/>
              <w:ind w:right="-90"/>
              <w:rPr>
                <w:rFonts w:ascii="Arial" w:eastAsia="Times New Roman" w:hAnsi="Arial" w:cs="Arial"/>
                <w:sz w:val="20"/>
                <w:szCs w:val="20"/>
                <w:lang w:val="fr-FR"/>
              </w:rPr>
            </w:pPr>
            <w:r w:rsidRPr="003A7305">
              <w:rPr>
                <w:rFonts w:ascii="Arial" w:eastAsia="Times New Roman" w:hAnsi="Arial" w:cs="Arial"/>
                <w:sz w:val="20"/>
                <w:szCs w:val="20"/>
                <w:lang w:val="fr-FR"/>
              </w:rPr>
              <w:t>Anti-Corruption Action Center Ukraine</w:t>
            </w:r>
          </w:p>
        </w:tc>
        <w:tc>
          <w:tcPr>
            <w:tcW w:w="2692" w:type="dxa"/>
            <w:vMerge/>
          </w:tcPr>
          <w:p w14:paraId="46FE2A39" w14:textId="77777777" w:rsidR="00766FDB" w:rsidRPr="00752179" w:rsidRDefault="00766FDB" w:rsidP="00A82817">
            <w:pPr>
              <w:tabs>
                <w:tab w:val="left" w:pos="810"/>
              </w:tabs>
              <w:autoSpaceDE w:val="0"/>
              <w:autoSpaceDN w:val="0"/>
              <w:adjustRightInd w:val="0"/>
              <w:spacing w:before="120" w:after="120"/>
              <w:ind w:right="-90"/>
              <w:rPr>
                <w:rFonts w:ascii="Arial" w:eastAsia="Times New Roman" w:hAnsi="Arial" w:cs="Arial"/>
                <w:sz w:val="20"/>
                <w:szCs w:val="20"/>
                <w:lang w:val="fr-FR"/>
              </w:rPr>
            </w:pPr>
          </w:p>
        </w:tc>
      </w:tr>
      <w:tr w:rsidR="00766FDB" w:rsidRPr="0046495C" w14:paraId="6DFBC290" w14:textId="77777777" w:rsidTr="005207A9">
        <w:trPr>
          <w:trHeight w:val="465"/>
        </w:trPr>
        <w:tc>
          <w:tcPr>
            <w:tcW w:w="1780" w:type="dxa"/>
            <w:vMerge/>
          </w:tcPr>
          <w:p w14:paraId="59D6DD6F" w14:textId="77777777" w:rsidR="00766FDB" w:rsidRPr="00752179"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lang w:val="fr-FR"/>
              </w:rPr>
            </w:pPr>
          </w:p>
        </w:tc>
        <w:tc>
          <w:tcPr>
            <w:tcW w:w="2586" w:type="dxa"/>
            <w:vMerge/>
          </w:tcPr>
          <w:p w14:paraId="22F9BE32" w14:textId="77777777" w:rsidR="00766FDB" w:rsidRPr="00752179" w:rsidRDefault="00766FDB" w:rsidP="00A82817">
            <w:pPr>
              <w:tabs>
                <w:tab w:val="left" w:pos="810"/>
              </w:tabs>
              <w:autoSpaceDE w:val="0"/>
              <w:autoSpaceDN w:val="0"/>
              <w:adjustRightInd w:val="0"/>
              <w:spacing w:before="120" w:after="120"/>
              <w:ind w:right="-90"/>
              <w:rPr>
                <w:rFonts w:ascii="Arial" w:eastAsia="Times New Roman" w:hAnsi="Arial" w:cs="Arial"/>
                <w:sz w:val="20"/>
                <w:szCs w:val="20"/>
                <w:lang w:val="fr-FR"/>
              </w:rPr>
            </w:pPr>
          </w:p>
        </w:tc>
        <w:tc>
          <w:tcPr>
            <w:tcW w:w="2292" w:type="dxa"/>
          </w:tcPr>
          <w:p w14:paraId="620259F5" w14:textId="77777777" w:rsidR="00766FDB" w:rsidRPr="003A7305" w:rsidRDefault="00766FDB" w:rsidP="00A82817">
            <w:pPr>
              <w:tabs>
                <w:tab w:val="left" w:pos="810"/>
              </w:tabs>
              <w:autoSpaceDE w:val="0"/>
              <w:autoSpaceDN w:val="0"/>
              <w:adjustRightInd w:val="0"/>
              <w:spacing w:before="120" w:after="120"/>
              <w:ind w:right="-90"/>
              <w:rPr>
                <w:rFonts w:ascii="Arial" w:eastAsia="Times New Roman" w:hAnsi="Arial" w:cs="Arial"/>
                <w:sz w:val="20"/>
                <w:szCs w:val="20"/>
                <w:lang w:val="fr-FR"/>
              </w:rPr>
            </w:pPr>
            <w:r w:rsidRPr="003A7305">
              <w:rPr>
                <w:rFonts w:ascii="Arial" w:eastAsia="Times New Roman" w:hAnsi="Arial" w:cs="Arial"/>
                <w:sz w:val="20"/>
                <w:szCs w:val="20"/>
              </w:rPr>
              <w:t>CARE Benin</w:t>
            </w:r>
          </w:p>
        </w:tc>
        <w:tc>
          <w:tcPr>
            <w:tcW w:w="2692" w:type="dxa"/>
            <w:vMerge/>
          </w:tcPr>
          <w:p w14:paraId="0F41E506" w14:textId="77777777" w:rsidR="00766FDB" w:rsidRPr="00F443B0"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r>
      <w:tr w:rsidR="00766FDB" w:rsidRPr="0046495C" w14:paraId="6834C2EF" w14:textId="77777777" w:rsidTr="005207A9">
        <w:trPr>
          <w:trHeight w:val="339"/>
        </w:trPr>
        <w:tc>
          <w:tcPr>
            <w:tcW w:w="1780" w:type="dxa"/>
            <w:vMerge/>
          </w:tcPr>
          <w:p w14:paraId="6E63EEAB"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vMerge/>
          </w:tcPr>
          <w:p w14:paraId="0AC806BE"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c>
          <w:tcPr>
            <w:tcW w:w="2292" w:type="dxa"/>
          </w:tcPr>
          <w:p w14:paraId="36B75ACD" w14:textId="77777777" w:rsidR="00766FDB" w:rsidRPr="003A7305" w:rsidRDefault="00766FDB" w:rsidP="00A82817">
            <w:pPr>
              <w:tabs>
                <w:tab w:val="left" w:pos="810"/>
              </w:tabs>
              <w:autoSpaceDE w:val="0"/>
              <w:autoSpaceDN w:val="0"/>
              <w:adjustRightInd w:val="0"/>
              <w:spacing w:before="120" w:after="120"/>
              <w:ind w:right="-90"/>
              <w:rPr>
                <w:rFonts w:ascii="Arial" w:eastAsia="Times New Roman" w:hAnsi="Arial" w:cs="Arial"/>
                <w:sz w:val="20"/>
                <w:szCs w:val="20"/>
                <w:lang w:val="fr-FR"/>
              </w:rPr>
            </w:pPr>
            <w:r w:rsidRPr="002D58C5">
              <w:rPr>
                <w:rFonts w:ascii="Arial" w:eastAsia="Times New Roman" w:hAnsi="Arial" w:cs="Arial"/>
                <w:sz w:val="20"/>
                <w:szCs w:val="20"/>
              </w:rPr>
              <w:t xml:space="preserve">INTEC-IHO </w:t>
            </w:r>
            <w:r>
              <w:rPr>
                <w:rFonts w:ascii="Arial" w:eastAsia="Times New Roman" w:hAnsi="Arial" w:cs="Arial"/>
                <w:sz w:val="20"/>
                <w:szCs w:val="20"/>
              </w:rPr>
              <w:t>Caribbean</w:t>
            </w:r>
          </w:p>
        </w:tc>
        <w:tc>
          <w:tcPr>
            <w:tcW w:w="2692" w:type="dxa"/>
            <w:vMerge/>
          </w:tcPr>
          <w:p w14:paraId="332331A8" w14:textId="77777777" w:rsidR="00766FDB" w:rsidRPr="00F443B0"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r>
      <w:tr w:rsidR="00766FDB" w:rsidRPr="0046495C" w14:paraId="5826CD99" w14:textId="77777777" w:rsidTr="005207A9">
        <w:trPr>
          <w:trHeight w:val="686"/>
        </w:trPr>
        <w:tc>
          <w:tcPr>
            <w:tcW w:w="1780" w:type="dxa"/>
            <w:vMerge/>
          </w:tcPr>
          <w:p w14:paraId="4B2740E9"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vMerge/>
          </w:tcPr>
          <w:p w14:paraId="3BF20EAD"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c>
          <w:tcPr>
            <w:tcW w:w="2292" w:type="dxa"/>
          </w:tcPr>
          <w:p w14:paraId="5029C921" w14:textId="77777777" w:rsidR="00766FDB" w:rsidRPr="003A7305"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Pr>
                <w:rFonts w:ascii="Arial" w:eastAsia="Times New Roman" w:hAnsi="Arial" w:cs="Arial"/>
                <w:sz w:val="20"/>
                <w:szCs w:val="20"/>
              </w:rPr>
              <w:t>VIVA Rio Brazil</w:t>
            </w:r>
          </w:p>
        </w:tc>
        <w:tc>
          <w:tcPr>
            <w:tcW w:w="2692" w:type="dxa"/>
            <w:vMerge/>
          </w:tcPr>
          <w:p w14:paraId="6E15DF5C" w14:textId="77777777" w:rsidR="00766FDB" w:rsidRPr="00F443B0"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r>
      <w:tr w:rsidR="00766FDB" w:rsidRPr="0046495C" w14:paraId="597E4AEA" w14:textId="77777777" w:rsidTr="005207A9">
        <w:trPr>
          <w:trHeight w:val="483"/>
        </w:trPr>
        <w:tc>
          <w:tcPr>
            <w:tcW w:w="1780" w:type="dxa"/>
            <w:vMerge/>
          </w:tcPr>
          <w:p w14:paraId="63AA461D"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vMerge/>
          </w:tcPr>
          <w:p w14:paraId="1650B715"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c>
          <w:tcPr>
            <w:tcW w:w="2292" w:type="dxa"/>
          </w:tcPr>
          <w:p w14:paraId="318C4D5D" w14:textId="77777777" w:rsidR="00766FDB" w:rsidRPr="002D58C5"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Pr>
                <w:rFonts w:ascii="Arial" w:eastAsia="Times New Roman" w:hAnsi="Arial" w:cs="Arial"/>
                <w:sz w:val="20"/>
                <w:szCs w:val="20"/>
              </w:rPr>
              <w:t>East Europe Foundation Moldova</w:t>
            </w:r>
          </w:p>
        </w:tc>
        <w:tc>
          <w:tcPr>
            <w:tcW w:w="2692" w:type="dxa"/>
            <w:vMerge/>
          </w:tcPr>
          <w:p w14:paraId="6E80AD1E" w14:textId="77777777" w:rsidR="00766FDB" w:rsidRPr="00F443B0"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r>
      <w:tr w:rsidR="00766FDB" w:rsidRPr="0046495C" w14:paraId="3C0574E9" w14:textId="77777777" w:rsidTr="005207A9">
        <w:trPr>
          <w:trHeight w:val="463"/>
        </w:trPr>
        <w:tc>
          <w:tcPr>
            <w:tcW w:w="1780" w:type="dxa"/>
            <w:vMerge/>
          </w:tcPr>
          <w:p w14:paraId="5D0CC5F4" w14:textId="77777777" w:rsidR="00766FDB" w:rsidRPr="0046495C" w:rsidRDefault="00766FDB" w:rsidP="00A82817">
            <w:pPr>
              <w:tabs>
                <w:tab w:val="left" w:pos="810"/>
              </w:tabs>
              <w:autoSpaceDE w:val="0"/>
              <w:autoSpaceDN w:val="0"/>
              <w:adjustRightInd w:val="0"/>
              <w:spacing w:before="120" w:after="120"/>
              <w:ind w:right="-90"/>
              <w:jc w:val="both"/>
              <w:rPr>
                <w:rFonts w:ascii="Arial" w:eastAsia="Times New Roman" w:hAnsi="Arial" w:cs="Arial"/>
                <w:sz w:val="20"/>
                <w:szCs w:val="20"/>
              </w:rPr>
            </w:pPr>
          </w:p>
        </w:tc>
        <w:tc>
          <w:tcPr>
            <w:tcW w:w="2586" w:type="dxa"/>
            <w:vMerge/>
          </w:tcPr>
          <w:p w14:paraId="4E12FE67" w14:textId="77777777" w:rsidR="00766FDB" w:rsidRPr="0046495C"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p>
        </w:tc>
        <w:tc>
          <w:tcPr>
            <w:tcW w:w="2292" w:type="dxa"/>
          </w:tcPr>
          <w:p w14:paraId="49B68A50" w14:textId="77777777" w:rsidR="00766FDB" w:rsidRDefault="00766FDB" w:rsidP="00A82817">
            <w:pPr>
              <w:tabs>
                <w:tab w:val="left" w:pos="810"/>
              </w:tabs>
              <w:autoSpaceDE w:val="0"/>
              <w:autoSpaceDN w:val="0"/>
              <w:adjustRightInd w:val="0"/>
              <w:spacing w:before="120" w:after="120"/>
              <w:ind w:right="-90"/>
              <w:rPr>
                <w:rFonts w:ascii="Arial" w:eastAsia="Times New Roman" w:hAnsi="Arial" w:cs="Arial"/>
                <w:sz w:val="20"/>
                <w:szCs w:val="20"/>
              </w:rPr>
            </w:pPr>
            <w:r>
              <w:rPr>
                <w:rFonts w:ascii="Arial" w:eastAsia="Times New Roman" w:hAnsi="Arial" w:cs="Arial"/>
                <w:sz w:val="20"/>
                <w:szCs w:val="20"/>
              </w:rPr>
              <w:t>MASAM II Mongolia</w:t>
            </w:r>
          </w:p>
        </w:tc>
        <w:tc>
          <w:tcPr>
            <w:tcW w:w="2692" w:type="dxa"/>
            <w:vMerge/>
          </w:tcPr>
          <w:p w14:paraId="7AE4F12E" w14:textId="77777777" w:rsidR="00766FDB" w:rsidRPr="00F443B0" w:rsidRDefault="00766FDB" w:rsidP="005207A9">
            <w:pPr>
              <w:keepNext/>
              <w:tabs>
                <w:tab w:val="left" w:pos="810"/>
              </w:tabs>
              <w:autoSpaceDE w:val="0"/>
              <w:autoSpaceDN w:val="0"/>
              <w:adjustRightInd w:val="0"/>
              <w:spacing w:before="120" w:after="120"/>
              <w:ind w:right="-90"/>
              <w:rPr>
                <w:rFonts w:ascii="Arial" w:eastAsia="Times New Roman" w:hAnsi="Arial" w:cs="Arial"/>
                <w:sz w:val="20"/>
                <w:szCs w:val="20"/>
              </w:rPr>
            </w:pPr>
          </w:p>
        </w:tc>
      </w:tr>
    </w:tbl>
    <w:p w14:paraId="3077A466" w14:textId="4839F913" w:rsidR="00C1597B" w:rsidRDefault="00C1597B" w:rsidP="005207A9">
      <w:pPr>
        <w:pStyle w:val="Caption"/>
        <w:framePr w:hSpace="180" w:wrap="around" w:vAnchor="text" w:hAnchor="page" w:x="1537" w:y="2973"/>
      </w:pPr>
      <w:r>
        <w:t xml:space="preserve">Table </w:t>
      </w:r>
      <w:fldSimple w:instr=" SEQ Table \* ARABIC ">
        <w:r>
          <w:rPr>
            <w:noProof/>
          </w:rPr>
          <w:t>3</w:t>
        </w:r>
      </w:fldSimple>
      <w:r>
        <w:t xml:space="preserve">: </w:t>
      </w:r>
      <w:r w:rsidRPr="00D359E7">
        <w:t>Sample of GPSA projects for the retroactive coding exercise</w:t>
      </w:r>
    </w:p>
    <w:p w14:paraId="4F38F6A2" w14:textId="27214DAF" w:rsidR="00140923" w:rsidRDefault="00140923" w:rsidP="00874AAB">
      <w:pPr>
        <w:spacing w:after="0"/>
        <w:rPr>
          <w:rFonts w:ascii="Arial" w:hAnsi="Arial" w:cs="Arial"/>
          <w:sz w:val="20"/>
          <w:szCs w:val="20"/>
        </w:rPr>
      </w:pPr>
    </w:p>
    <w:p w14:paraId="43ADF184" w14:textId="77777777" w:rsidR="00766FDB" w:rsidRPr="003157E4" w:rsidRDefault="00766FDB" w:rsidP="00874AAB">
      <w:pPr>
        <w:spacing w:after="0"/>
        <w:rPr>
          <w:rFonts w:ascii="Arial" w:hAnsi="Arial" w:cs="Arial"/>
          <w:sz w:val="20"/>
          <w:szCs w:val="20"/>
        </w:rPr>
      </w:pPr>
    </w:p>
    <w:p w14:paraId="78C4D99F" w14:textId="77777777" w:rsidR="00C1597B" w:rsidRDefault="00C1597B" w:rsidP="005207A9">
      <w:pPr>
        <w:pStyle w:val="ListParagraph"/>
        <w:spacing w:after="0"/>
        <w:ind w:left="417"/>
        <w:rPr>
          <w:rFonts w:ascii="Arial" w:hAnsi="Arial" w:cs="Arial"/>
          <w:b/>
          <w:bCs/>
          <w:sz w:val="20"/>
          <w:szCs w:val="20"/>
        </w:rPr>
      </w:pPr>
    </w:p>
    <w:p w14:paraId="4FAD475A" w14:textId="403037A8" w:rsidR="00C556E5" w:rsidRPr="00322FF7" w:rsidRDefault="00C1597B" w:rsidP="00C556E5">
      <w:pPr>
        <w:pStyle w:val="ListParagraph"/>
        <w:numPr>
          <w:ilvl w:val="3"/>
          <w:numId w:val="1"/>
        </w:numPr>
        <w:spacing w:after="0"/>
        <w:ind w:left="417"/>
        <w:rPr>
          <w:rFonts w:ascii="Arial" w:hAnsi="Arial" w:cs="Arial"/>
          <w:b/>
          <w:bCs/>
          <w:sz w:val="20"/>
          <w:szCs w:val="20"/>
        </w:rPr>
      </w:pPr>
      <w:r>
        <w:rPr>
          <w:rFonts w:ascii="Arial" w:hAnsi="Arial" w:cs="Arial"/>
          <w:b/>
          <w:bCs/>
          <w:sz w:val="20"/>
          <w:szCs w:val="20"/>
        </w:rPr>
        <w:t xml:space="preserve">Overview of </w:t>
      </w:r>
      <w:r w:rsidR="00C556E5" w:rsidRPr="00322FF7">
        <w:rPr>
          <w:rFonts w:ascii="Arial" w:hAnsi="Arial" w:cs="Arial"/>
          <w:b/>
          <w:bCs/>
          <w:sz w:val="20"/>
          <w:szCs w:val="20"/>
        </w:rPr>
        <w:t xml:space="preserve">Findings </w:t>
      </w:r>
    </w:p>
    <w:p w14:paraId="1866B69C" w14:textId="6C68ED07" w:rsidR="003157E4" w:rsidRDefault="003157E4" w:rsidP="003157E4">
      <w:pPr>
        <w:spacing w:after="0"/>
        <w:rPr>
          <w:rFonts w:ascii="Arial" w:hAnsi="Arial" w:cs="Arial"/>
          <w:sz w:val="20"/>
          <w:szCs w:val="20"/>
        </w:rPr>
      </w:pPr>
    </w:p>
    <w:p w14:paraId="19B36A1C" w14:textId="66B2F282" w:rsidR="008E384F" w:rsidRDefault="00D56FCB" w:rsidP="003157E4">
      <w:pPr>
        <w:spacing w:after="0"/>
        <w:rPr>
          <w:rFonts w:ascii="Arial" w:hAnsi="Arial" w:cs="Arial"/>
          <w:sz w:val="20"/>
          <w:szCs w:val="20"/>
        </w:rPr>
      </w:pPr>
      <w:r>
        <w:rPr>
          <w:rFonts w:ascii="Arial" w:hAnsi="Arial" w:cs="Arial"/>
          <w:sz w:val="20"/>
          <w:szCs w:val="20"/>
        </w:rPr>
        <w:t xml:space="preserve">The below table and section </w:t>
      </w:r>
      <w:r w:rsidR="00772B25">
        <w:rPr>
          <w:rFonts w:ascii="Arial" w:hAnsi="Arial" w:cs="Arial"/>
          <w:sz w:val="20"/>
          <w:szCs w:val="20"/>
        </w:rPr>
        <w:t>provide</w:t>
      </w:r>
      <w:r>
        <w:rPr>
          <w:rFonts w:ascii="Arial" w:hAnsi="Arial" w:cs="Arial"/>
          <w:sz w:val="20"/>
          <w:szCs w:val="20"/>
        </w:rPr>
        <w:t xml:space="preserve"> the </w:t>
      </w:r>
      <w:r w:rsidR="002F74B4">
        <w:rPr>
          <w:rFonts w:ascii="Arial" w:hAnsi="Arial" w:cs="Arial"/>
          <w:sz w:val="20"/>
          <w:szCs w:val="20"/>
        </w:rPr>
        <w:t>aggregated</w:t>
      </w:r>
      <w:r>
        <w:rPr>
          <w:rFonts w:ascii="Arial" w:hAnsi="Arial" w:cs="Arial"/>
          <w:sz w:val="20"/>
          <w:szCs w:val="20"/>
        </w:rPr>
        <w:t xml:space="preserve"> values for all the operational indicators (and the output 3 GPSA/World bank non-operational </w:t>
      </w:r>
      <w:r w:rsidR="002F74B4">
        <w:rPr>
          <w:rFonts w:ascii="Arial" w:hAnsi="Arial" w:cs="Arial"/>
          <w:sz w:val="20"/>
          <w:szCs w:val="20"/>
        </w:rPr>
        <w:t>indicator</w:t>
      </w:r>
      <w:r>
        <w:rPr>
          <w:rFonts w:ascii="Arial" w:hAnsi="Arial" w:cs="Arial"/>
          <w:sz w:val="20"/>
          <w:szCs w:val="20"/>
        </w:rPr>
        <w:t>) that were coded for each project in the sample. The source excel file includes more details on the</w:t>
      </w:r>
      <w:r w:rsidR="008E384F">
        <w:rPr>
          <w:rFonts w:ascii="Arial" w:hAnsi="Arial" w:cs="Arial"/>
          <w:sz w:val="20"/>
          <w:szCs w:val="20"/>
        </w:rPr>
        <w:t xml:space="preserve"> </w:t>
      </w:r>
      <w:r w:rsidR="002F74B4">
        <w:rPr>
          <w:rFonts w:ascii="Arial" w:hAnsi="Arial" w:cs="Arial"/>
          <w:sz w:val="20"/>
          <w:szCs w:val="20"/>
        </w:rPr>
        <w:t>aggregation</w:t>
      </w:r>
      <w:r w:rsidR="008E384F">
        <w:rPr>
          <w:rFonts w:ascii="Arial" w:hAnsi="Arial" w:cs="Arial"/>
          <w:sz w:val="20"/>
          <w:szCs w:val="20"/>
        </w:rPr>
        <w:t xml:space="preserve"> </w:t>
      </w:r>
      <w:r>
        <w:rPr>
          <w:rFonts w:ascii="Arial" w:hAnsi="Arial" w:cs="Arial"/>
          <w:sz w:val="20"/>
          <w:szCs w:val="20"/>
        </w:rPr>
        <w:t xml:space="preserve">while it also includes the coded project files for all 15 sample projects with </w:t>
      </w:r>
      <w:r w:rsidR="002F74B4">
        <w:rPr>
          <w:rFonts w:ascii="Arial" w:hAnsi="Arial" w:cs="Arial"/>
          <w:sz w:val="20"/>
          <w:szCs w:val="20"/>
        </w:rPr>
        <w:t>detailed</w:t>
      </w:r>
      <w:r>
        <w:rPr>
          <w:rFonts w:ascii="Arial" w:hAnsi="Arial" w:cs="Arial"/>
          <w:sz w:val="20"/>
          <w:szCs w:val="20"/>
        </w:rPr>
        <w:t xml:space="preserve"> explanations for each indicator and scores, with limitations and a reference to the </w:t>
      </w:r>
      <w:r w:rsidR="008E384F">
        <w:rPr>
          <w:rFonts w:ascii="Arial" w:hAnsi="Arial" w:cs="Arial"/>
          <w:sz w:val="20"/>
          <w:szCs w:val="20"/>
        </w:rPr>
        <w:t>sources</w:t>
      </w:r>
      <w:r>
        <w:rPr>
          <w:rFonts w:ascii="Arial" w:hAnsi="Arial" w:cs="Arial"/>
          <w:sz w:val="20"/>
          <w:szCs w:val="20"/>
        </w:rPr>
        <w:t xml:space="preserve"> referenced with </w:t>
      </w:r>
      <w:r w:rsidR="002F74B4">
        <w:rPr>
          <w:rFonts w:ascii="Arial" w:hAnsi="Arial" w:cs="Arial"/>
          <w:sz w:val="20"/>
          <w:szCs w:val="20"/>
        </w:rPr>
        <w:t>quotes</w:t>
      </w:r>
      <w:r>
        <w:rPr>
          <w:rFonts w:ascii="Arial" w:hAnsi="Arial" w:cs="Arial"/>
          <w:sz w:val="20"/>
          <w:szCs w:val="20"/>
        </w:rPr>
        <w:t xml:space="preserve"> and pages numbers. It is </w:t>
      </w:r>
      <w:r w:rsidR="008E384F">
        <w:rPr>
          <w:rFonts w:ascii="Arial" w:hAnsi="Arial" w:cs="Arial"/>
          <w:sz w:val="20"/>
          <w:szCs w:val="20"/>
        </w:rPr>
        <w:t>important to reference the qualitative</w:t>
      </w:r>
      <w:r>
        <w:rPr>
          <w:rFonts w:ascii="Arial" w:hAnsi="Arial" w:cs="Arial"/>
          <w:sz w:val="20"/>
          <w:szCs w:val="20"/>
        </w:rPr>
        <w:t xml:space="preserve"> information that is available in these files in addition to the percentage and numerical values to interpret a nuanced and comprehensive understanding of the process and findings.</w:t>
      </w:r>
    </w:p>
    <w:p w14:paraId="58E3C0A1" w14:textId="682A6B30" w:rsidR="008E384F" w:rsidRDefault="008E384F" w:rsidP="003157E4">
      <w:pPr>
        <w:spacing w:after="0"/>
        <w:rPr>
          <w:rFonts w:ascii="Arial" w:hAnsi="Arial" w:cs="Arial"/>
          <w:sz w:val="20"/>
          <w:szCs w:val="20"/>
        </w:rPr>
      </w:pPr>
    </w:p>
    <w:p w14:paraId="63F1023C" w14:textId="14D410A2" w:rsidR="00752179" w:rsidRDefault="00752179" w:rsidP="00752179">
      <w:pPr>
        <w:pStyle w:val="Caption"/>
        <w:keepNext/>
      </w:pPr>
      <w:r>
        <w:t xml:space="preserve">Table </w:t>
      </w:r>
      <w:fldSimple w:instr=" SEQ Table \* ARABIC ">
        <w:r w:rsidR="00C1597B">
          <w:rPr>
            <w:noProof/>
          </w:rPr>
          <w:t>4</w:t>
        </w:r>
      </w:fldSimple>
      <w:r>
        <w:t>: Aggregated results for retroactive coding exercise</w:t>
      </w:r>
    </w:p>
    <w:tbl>
      <w:tblPr>
        <w:tblStyle w:val="TableGrid"/>
        <w:tblW w:w="10201" w:type="dxa"/>
        <w:tblLook w:val="04A0" w:firstRow="1" w:lastRow="0" w:firstColumn="1" w:lastColumn="0" w:noHBand="0" w:noVBand="1"/>
      </w:tblPr>
      <w:tblGrid>
        <w:gridCol w:w="3823"/>
        <w:gridCol w:w="2410"/>
        <w:gridCol w:w="3968"/>
      </w:tblGrid>
      <w:tr w:rsidR="008E384F" w14:paraId="0977D516" w14:textId="77777777" w:rsidTr="00274B9B">
        <w:tc>
          <w:tcPr>
            <w:tcW w:w="3823" w:type="dxa"/>
          </w:tcPr>
          <w:p w14:paraId="25AD4EFC" w14:textId="6E7A8114" w:rsidR="008E384F" w:rsidRDefault="00EF3585" w:rsidP="00D56FCB">
            <w:pPr>
              <w:jc w:val="center"/>
              <w:rPr>
                <w:rFonts w:ascii="Arial" w:hAnsi="Arial" w:cs="Arial"/>
                <w:sz w:val="20"/>
                <w:szCs w:val="20"/>
              </w:rPr>
            </w:pPr>
            <w:r>
              <w:rPr>
                <w:rFonts w:ascii="Arial" w:hAnsi="Arial" w:cs="Arial"/>
                <w:sz w:val="20"/>
                <w:szCs w:val="20"/>
              </w:rPr>
              <w:t>Outcome/output Indicator</w:t>
            </w:r>
          </w:p>
        </w:tc>
        <w:tc>
          <w:tcPr>
            <w:tcW w:w="2410" w:type="dxa"/>
          </w:tcPr>
          <w:p w14:paraId="04BBE6BA" w14:textId="592A9CDA" w:rsidR="008E384F" w:rsidRDefault="00EF3585" w:rsidP="003157E4">
            <w:pPr>
              <w:rPr>
                <w:rFonts w:ascii="Arial" w:hAnsi="Arial" w:cs="Arial"/>
                <w:sz w:val="20"/>
                <w:szCs w:val="20"/>
              </w:rPr>
            </w:pPr>
            <w:r>
              <w:rPr>
                <w:rFonts w:ascii="Arial" w:hAnsi="Arial" w:cs="Arial"/>
                <w:sz w:val="20"/>
                <w:szCs w:val="20"/>
              </w:rPr>
              <w:t>Aggregated Value</w:t>
            </w:r>
          </w:p>
        </w:tc>
        <w:tc>
          <w:tcPr>
            <w:tcW w:w="3968" w:type="dxa"/>
          </w:tcPr>
          <w:p w14:paraId="378F247E" w14:textId="78BE739D" w:rsidR="008E384F" w:rsidRDefault="00EF3585" w:rsidP="003157E4">
            <w:pPr>
              <w:rPr>
                <w:rFonts w:ascii="Arial" w:hAnsi="Arial" w:cs="Arial"/>
                <w:sz w:val="20"/>
                <w:szCs w:val="20"/>
              </w:rPr>
            </w:pPr>
            <w:r>
              <w:rPr>
                <w:rFonts w:ascii="Arial" w:hAnsi="Arial" w:cs="Arial"/>
                <w:sz w:val="20"/>
                <w:szCs w:val="20"/>
              </w:rPr>
              <w:t>Other relevant units of analysis</w:t>
            </w:r>
            <w:r w:rsidR="00077F97">
              <w:rPr>
                <w:rFonts w:ascii="Arial" w:hAnsi="Arial" w:cs="Arial"/>
                <w:sz w:val="20"/>
                <w:szCs w:val="20"/>
              </w:rPr>
              <w:t xml:space="preserve"> or considerations of note</w:t>
            </w:r>
          </w:p>
        </w:tc>
      </w:tr>
      <w:tr w:rsidR="008E384F" w14:paraId="6DAA62CF" w14:textId="77777777" w:rsidTr="00274B9B">
        <w:tc>
          <w:tcPr>
            <w:tcW w:w="3823" w:type="dxa"/>
          </w:tcPr>
          <w:p w14:paraId="55366244" w14:textId="5B99C42C" w:rsidR="008E384F" w:rsidRPr="00EF3585" w:rsidRDefault="00EF3585" w:rsidP="00EF3585">
            <w:pPr>
              <w:pStyle w:val="CommentText"/>
              <w:rPr>
                <w:rFonts w:ascii="Arial" w:hAnsi="Arial" w:cs="Arial"/>
                <w:lang w:val="en-US"/>
              </w:rPr>
            </w:pPr>
            <w:r w:rsidRPr="00D56FCB">
              <w:rPr>
                <w:rFonts w:ascii="Arial" w:eastAsiaTheme="majorEastAsia" w:hAnsi="Arial" w:cs="Arial"/>
                <w:b/>
                <w:bCs/>
              </w:rPr>
              <w:t>Outcome indicator 1a)</w:t>
            </w:r>
            <w:r w:rsidRPr="003157E4">
              <w:rPr>
                <w:rFonts w:ascii="Arial" w:eastAsiaTheme="majorEastAsia" w:hAnsi="Arial" w:cs="Arial"/>
              </w:rPr>
              <w:t xml:space="preserve"> Percentage of grant partners and their implementing CSO partners with improved capacity to engage meaningfully and collaboratively with one another and other stakeholders in the compact(s).</w:t>
            </w:r>
          </w:p>
        </w:tc>
        <w:tc>
          <w:tcPr>
            <w:tcW w:w="2410" w:type="dxa"/>
          </w:tcPr>
          <w:p w14:paraId="1470E78B" w14:textId="77777777" w:rsidR="006E74A2" w:rsidRDefault="006E74A2" w:rsidP="006E74A2">
            <w:pPr>
              <w:rPr>
                <w:rFonts w:ascii="Calibri" w:hAnsi="Calibri" w:cs="Calibri"/>
                <w:color w:val="000000"/>
              </w:rPr>
            </w:pPr>
            <w:r>
              <w:rPr>
                <w:rFonts w:ascii="Calibri" w:hAnsi="Calibri" w:cs="Calibri"/>
                <w:color w:val="000000"/>
              </w:rPr>
              <w:t>80% of projects (or 12/15) in the sample met this criteria for improved capacity of the lead grant partner and implementing CSO partners.</w:t>
            </w:r>
          </w:p>
          <w:p w14:paraId="2264AA2A" w14:textId="77777777" w:rsidR="008E384F" w:rsidRDefault="008E384F" w:rsidP="003157E4">
            <w:pPr>
              <w:rPr>
                <w:rFonts w:ascii="Arial" w:hAnsi="Arial" w:cs="Arial"/>
                <w:sz w:val="20"/>
                <w:szCs w:val="20"/>
              </w:rPr>
            </w:pPr>
          </w:p>
        </w:tc>
        <w:tc>
          <w:tcPr>
            <w:tcW w:w="3968" w:type="dxa"/>
          </w:tcPr>
          <w:p w14:paraId="44FBF025" w14:textId="268EE035" w:rsidR="008419AF" w:rsidRDefault="008419AF" w:rsidP="008419AF">
            <w:pPr>
              <w:rPr>
                <w:rFonts w:ascii="Calibri" w:hAnsi="Calibri" w:cs="Calibri"/>
                <w:color w:val="000000"/>
              </w:rPr>
            </w:pPr>
            <w:r>
              <w:rPr>
                <w:rFonts w:ascii="Calibri" w:hAnsi="Calibri" w:cs="Calibri"/>
                <w:color w:val="000000"/>
              </w:rPr>
              <w:t>On the GPSA MERL guide scale of capacity improvement (1-4) the projects were rated as follows:</w:t>
            </w:r>
            <w:r>
              <w:rPr>
                <w:rFonts w:ascii="Calibri" w:hAnsi="Calibri" w:cs="Calibri"/>
                <w:color w:val="000000"/>
              </w:rPr>
              <w:br/>
              <w:t xml:space="preserve">12 projects </w:t>
            </w:r>
            <w:r w:rsidR="00D56FCB">
              <w:rPr>
                <w:rFonts w:ascii="Calibri" w:hAnsi="Calibri" w:cs="Calibri"/>
                <w:color w:val="000000"/>
              </w:rPr>
              <w:t>were rated as a ‘</w:t>
            </w:r>
            <w:r>
              <w:rPr>
                <w:rFonts w:ascii="Calibri" w:hAnsi="Calibri" w:cs="Calibri"/>
                <w:color w:val="000000"/>
              </w:rPr>
              <w:t>3</w:t>
            </w:r>
            <w:r w:rsidR="00D56FCB">
              <w:rPr>
                <w:rFonts w:ascii="Calibri" w:hAnsi="Calibri" w:cs="Calibri"/>
                <w:color w:val="000000"/>
              </w:rPr>
              <w:t>’</w:t>
            </w:r>
            <w:r>
              <w:rPr>
                <w:rFonts w:ascii="Calibri" w:hAnsi="Calibri" w:cs="Calibri"/>
                <w:color w:val="000000"/>
              </w:rPr>
              <w:t xml:space="preserve"> (Improved)</w:t>
            </w:r>
            <w:r>
              <w:rPr>
                <w:rFonts w:ascii="Calibri" w:hAnsi="Calibri" w:cs="Calibri"/>
                <w:color w:val="000000"/>
              </w:rPr>
              <w:br/>
              <w:t xml:space="preserve">3 projects = </w:t>
            </w:r>
            <w:r w:rsidR="00D56FCB">
              <w:rPr>
                <w:rFonts w:ascii="Calibri" w:hAnsi="Calibri" w:cs="Calibri"/>
                <w:color w:val="000000"/>
              </w:rPr>
              <w:t xml:space="preserve">were rated </w:t>
            </w:r>
            <w:r w:rsidR="00772B25">
              <w:rPr>
                <w:rFonts w:ascii="Calibri" w:hAnsi="Calibri" w:cs="Calibri"/>
                <w:color w:val="000000"/>
              </w:rPr>
              <w:t>as a</w:t>
            </w:r>
            <w:r w:rsidR="00D56FCB">
              <w:rPr>
                <w:rFonts w:ascii="Calibri" w:hAnsi="Calibri" w:cs="Calibri"/>
                <w:color w:val="000000"/>
              </w:rPr>
              <w:t xml:space="preserve"> ‘2’ </w:t>
            </w:r>
            <w:r>
              <w:rPr>
                <w:rFonts w:ascii="Calibri" w:hAnsi="Calibri" w:cs="Calibri"/>
                <w:color w:val="000000"/>
              </w:rPr>
              <w:t xml:space="preserve">(neither improved </w:t>
            </w:r>
            <w:r w:rsidR="00FA5D7E">
              <w:rPr>
                <w:rFonts w:ascii="Calibri" w:hAnsi="Calibri" w:cs="Calibri"/>
                <w:color w:val="000000"/>
              </w:rPr>
              <w:t>nor</w:t>
            </w:r>
            <w:r>
              <w:rPr>
                <w:rFonts w:ascii="Calibri" w:hAnsi="Calibri" w:cs="Calibri"/>
                <w:color w:val="000000"/>
              </w:rPr>
              <w:t xml:space="preserve"> decreased)</w:t>
            </w:r>
          </w:p>
          <w:p w14:paraId="2FE310AD" w14:textId="280677B1" w:rsidR="00D56FCB" w:rsidRDefault="00D56FCB" w:rsidP="008419AF">
            <w:pPr>
              <w:rPr>
                <w:rFonts w:ascii="Calibri" w:hAnsi="Calibri" w:cs="Calibri"/>
                <w:color w:val="000000"/>
              </w:rPr>
            </w:pPr>
            <w:r>
              <w:rPr>
                <w:rFonts w:ascii="Calibri" w:hAnsi="Calibri" w:cs="Calibri"/>
                <w:color w:val="000000"/>
              </w:rPr>
              <w:t>None of the projects received a ‘1’ (decreased) or a ‘4’ (significantly improved)</w:t>
            </w:r>
          </w:p>
          <w:p w14:paraId="0AE0D079" w14:textId="77777777" w:rsidR="008E384F" w:rsidRDefault="008E384F" w:rsidP="003157E4">
            <w:pPr>
              <w:rPr>
                <w:rFonts w:ascii="Arial" w:hAnsi="Arial" w:cs="Arial"/>
                <w:sz w:val="20"/>
                <w:szCs w:val="20"/>
              </w:rPr>
            </w:pPr>
          </w:p>
        </w:tc>
      </w:tr>
      <w:tr w:rsidR="006B2B1D" w:rsidRPr="0061121A" w14:paraId="4802D6BB" w14:textId="77777777" w:rsidTr="00274B9B">
        <w:tc>
          <w:tcPr>
            <w:tcW w:w="3823" w:type="dxa"/>
          </w:tcPr>
          <w:p w14:paraId="4FC566E6" w14:textId="52ECACB0" w:rsidR="006B2B1D" w:rsidRPr="00EF3585" w:rsidRDefault="006B2B1D" w:rsidP="006B2B1D">
            <w:pPr>
              <w:pStyle w:val="CommentText"/>
              <w:rPr>
                <w:rFonts w:ascii="Arial" w:eastAsiaTheme="majorEastAsia" w:hAnsi="Arial" w:cs="Arial"/>
              </w:rPr>
            </w:pPr>
            <w:r w:rsidRPr="00D56FCB">
              <w:rPr>
                <w:rFonts w:ascii="Arial" w:eastAsiaTheme="majorEastAsia" w:hAnsi="Arial" w:cs="Arial"/>
                <w:b/>
                <w:bCs/>
              </w:rPr>
              <w:t>Outcome indicator 1b)</w:t>
            </w:r>
            <w:r w:rsidRPr="003157E4">
              <w:rPr>
                <w:rFonts w:ascii="Arial" w:eastAsiaTheme="majorEastAsia" w:hAnsi="Arial" w:cs="Arial"/>
              </w:rPr>
              <w:t xml:space="preserve"> Percentage of grants in which civil society actors, citizens and public sector institutions demonstrate improved capacity to engage meaningfully and collaboratively.</w:t>
            </w:r>
          </w:p>
        </w:tc>
        <w:tc>
          <w:tcPr>
            <w:tcW w:w="2410" w:type="dxa"/>
          </w:tcPr>
          <w:p w14:paraId="38C3FE7E" w14:textId="77777777" w:rsidR="006B2B1D" w:rsidRDefault="006B2B1D" w:rsidP="006B2B1D">
            <w:pPr>
              <w:rPr>
                <w:rFonts w:ascii="Calibri" w:hAnsi="Calibri" w:cs="Calibri"/>
                <w:color w:val="000000"/>
              </w:rPr>
            </w:pPr>
            <w:r>
              <w:rPr>
                <w:rFonts w:ascii="Calibri" w:hAnsi="Calibri" w:cs="Calibri"/>
                <w:color w:val="000000"/>
              </w:rPr>
              <w:t>100% (15/15 projects)</w:t>
            </w:r>
          </w:p>
          <w:p w14:paraId="63097233" w14:textId="77777777" w:rsidR="006B2B1D" w:rsidRDefault="006B2B1D" w:rsidP="006B2B1D">
            <w:pPr>
              <w:rPr>
                <w:rFonts w:ascii="Arial" w:hAnsi="Arial" w:cs="Arial"/>
                <w:sz w:val="20"/>
                <w:szCs w:val="20"/>
              </w:rPr>
            </w:pPr>
          </w:p>
        </w:tc>
        <w:tc>
          <w:tcPr>
            <w:tcW w:w="3968" w:type="dxa"/>
          </w:tcPr>
          <w:p w14:paraId="7C6EF6E6" w14:textId="017BFA75" w:rsidR="006B2B1D" w:rsidRPr="00DC31A4" w:rsidRDefault="006B2B1D" w:rsidP="006B2B1D">
            <w:pPr>
              <w:rPr>
                <w:rFonts w:ascii="Arial" w:hAnsi="Arial" w:cs="Arial"/>
                <w:sz w:val="20"/>
                <w:szCs w:val="20"/>
                <w:lang w:val="pt-BR"/>
              </w:rPr>
            </w:pPr>
            <w:r w:rsidRPr="00DC31A4">
              <w:rPr>
                <w:rFonts w:ascii="Arial" w:hAnsi="Arial" w:cs="Arial"/>
                <w:sz w:val="20"/>
                <w:szCs w:val="20"/>
                <w:lang w:val="pt-BR"/>
              </w:rPr>
              <w:t>N/A - yes/no indicator</w:t>
            </w:r>
          </w:p>
        </w:tc>
      </w:tr>
      <w:tr w:rsidR="006E74A2" w14:paraId="0AE9BF4D" w14:textId="77777777" w:rsidTr="00274B9B">
        <w:tc>
          <w:tcPr>
            <w:tcW w:w="3823" w:type="dxa"/>
          </w:tcPr>
          <w:p w14:paraId="59E207B6" w14:textId="5854E661" w:rsidR="006E74A2" w:rsidRPr="003157E4" w:rsidRDefault="006E74A2" w:rsidP="006E74A2">
            <w:pPr>
              <w:pStyle w:val="Normal1"/>
              <w:spacing w:before="120" w:after="120"/>
              <w:ind w:right="-90"/>
              <w:jc w:val="both"/>
              <w:rPr>
                <w:rFonts w:ascii="Arial" w:hAnsi="Arial" w:cs="Arial"/>
                <w:color w:val="auto"/>
                <w:sz w:val="20"/>
                <w:szCs w:val="20"/>
              </w:rPr>
            </w:pPr>
            <w:r w:rsidRPr="00D56FCB">
              <w:rPr>
                <w:rFonts w:ascii="Arial" w:hAnsi="Arial" w:cs="Arial"/>
                <w:b/>
                <w:bCs/>
                <w:color w:val="auto"/>
                <w:sz w:val="20"/>
                <w:szCs w:val="20"/>
              </w:rPr>
              <w:t>Outcome indicator 1c)</w:t>
            </w:r>
            <w:r w:rsidRPr="003157E4">
              <w:rPr>
                <w:rFonts w:ascii="Arial" w:hAnsi="Arial" w:cs="Arial"/>
                <w:color w:val="auto"/>
                <w:sz w:val="20"/>
                <w:szCs w:val="20"/>
              </w:rPr>
              <w:t xml:space="preserve"> </w:t>
            </w:r>
            <w:r w:rsidRPr="003157E4">
              <w:rPr>
                <w:rFonts w:ascii="Arial" w:eastAsiaTheme="majorEastAsia" w:hAnsi="Arial" w:cs="Arial"/>
                <w:color w:val="auto"/>
                <w:sz w:val="20"/>
                <w:szCs w:val="20"/>
              </w:rPr>
              <w:t xml:space="preserve">Percentage of </w:t>
            </w:r>
            <w:r w:rsidRPr="003157E4">
              <w:rPr>
                <w:rFonts w:ascii="Arial" w:hAnsi="Arial" w:cs="Arial"/>
                <w:color w:val="auto"/>
                <w:sz w:val="20"/>
                <w:szCs w:val="20"/>
              </w:rPr>
              <w:t xml:space="preserve">grants that contribute to corrective measures taken by public sector actors to address proximate causes of service delivery failure. </w:t>
            </w:r>
          </w:p>
          <w:p w14:paraId="3C9D8986" w14:textId="77777777" w:rsidR="006E74A2" w:rsidRPr="00EF3585" w:rsidRDefault="006E74A2" w:rsidP="006E74A2">
            <w:pPr>
              <w:rPr>
                <w:rFonts w:ascii="Arial" w:hAnsi="Arial" w:cs="Arial"/>
                <w:sz w:val="20"/>
                <w:szCs w:val="20"/>
                <w:lang w:val="en-US"/>
              </w:rPr>
            </w:pPr>
          </w:p>
        </w:tc>
        <w:tc>
          <w:tcPr>
            <w:tcW w:w="2410" w:type="dxa"/>
          </w:tcPr>
          <w:p w14:paraId="06B36D59" w14:textId="77777777" w:rsidR="006E74A2" w:rsidRDefault="006E74A2" w:rsidP="006E74A2">
            <w:pPr>
              <w:rPr>
                <w:rFonts w:ascii="Calibri" w:hAnsi="Calibri" w:cs="Calibri"/>
                <w:color w:val="000000"/>
              </w:rPr>
            </w:pPr>
            <w:r>
              <w:rPr>
                <w:rFonts w:ascii="Calibri" w:hAnsi="Calibri" w:cs="Calibri"/>
                <w:color w:val="000000"/>
              </w:rPr>
              <w:t>100% (15/15 projects)</w:t>
            </w:r>
          </w:p>
          <w:p w14:paraId="02B1A9EF" w14:textId="77777777" w:rsidR="006E74A2" w:rsidRDefault="006E74A2" w:rsidP="006E74A2">
            <w:pPr>
              <w:rPr>
                <w:rFonts w:ascii="Arial" w:hAnsi="Arial" w:cs="Arial"/>
                <w:sz w:val="20"/>
                <w:szCs w:val="20"/>
              </w:rPr>
            </w:pPr>
          </w:p>
        </w:tc>
        <w:tc>
          <w:tcPr>
            <w:tcW w:w="3968" w:type="dxa"/>
          </w:tcPr>
          <w:p w14:paraId="413CC532" w14:textId="4E3B8695" w:rsidR="008419AF" w:rsidRDefault="008419AF" w:rsidP="008419AF">
            <w:pPr>
              <w:rPr>
                <w:rFonts w:ascii="Calibri" w:hAnsi="Calibri" w:cs="Calibri"/>
                <w:color w:val="000000"/>
              </w:rPr>
            </w:pPr>
            <w:r>
              <w:rPr>
                <w:rFonts w:ascii="Calibri" w:hAnsi="Calibri" w:cs="Calibri"/>
                <w:color w:val="000000"/>
              </w:rPr>
              <w:t xml:space="preserve">Yes/No was the main unit of analysis to code this indicator; </w:t>
            </w:r>
            <w:r w:rsidR="00274B9B">
              <w:rPr>
                <w:rFonts w:ascii="Calibri" w:hAnsi="Calibri" w:cs="Calibri"/>
                <w:color w:val="000000"/>
              </w:rPr>
              <w:t xml:space="preserve">however, </w:t>
            </w:r>
            <w:r>
              <w:rPr>
                <w:rFonts w:ascii="Calibri" w:hAnsi="Calibri" w:cs="Calibri"/>
                <w:color w:val="000000"/>
              </w:rPr>
              <w:t xml:space="preserve">where possible the </w:t>
            </w:r>
            <w:r w:rsidR="00274B9B">
              <w:rPr>
                <w:rFonts w:ascii="Calibri" w:hAnsi="Calibri" w:cs="Calibri"/>
                <w:color w:val="000000"/>
              </w:rPr>
              <w:t>percentage</w:t>
            </w:r>
            <w:r>
              <w:rPr>
                <w:rFonts w:ascii="Calibri" w:hAnsi="Calibri" w:cs="Calibri"/>
                <w:color w:val="000000"/>
              </w:rPr>
              <w:t xml:space="preserve"> of corrective measures the project contributed to addressing was assessed with</w:t>
            </w:r>
            <w:r w:rsidR="00274B9B">
              <w:rPr>
                <w:rFonts w:ascii="Calibri" w:hAnsi="Calibri" w:cs="Calibri"/>
                <w:color w:val="000000"/>
              </w:rPr>
              <w:t xml:space="preserve"> the</w:t>
            </w:r>
            <w:r>
              <w:rPr>
                <w:rFonts w:ascii="Calibri" w:hAnsi="Calibri" w:cs="Calibri"/>
                <w:color w:val="000000"/>
              </w:rPr>
              <w:t xml:space="preserve"> available evidence.</w:t>
            </w:r>
            <w:r>
              <w:rPr>
                <w:rFonts w:ascii="Calibri" w:hAnsi="Calibri" w:cs="Calibri"/>
                <w:color w:val="000000"/>
              </w:rPr>
              <w:br/>
            </w:r>
            <w:r>
              <w:rPr>
                <w:rFonts w:ascii="Calibri" w:hAnsi="Calibri" w:cs="Calibri"/>
                <w:color w:val="000000"/>
              </w:rPr>
              <w:br/>
            </w:r>
            <w:r w:rsidR="00274B9B">
              <w:rPr>
                <w:rFonts w:ascii="Calibri" w:hAnsi="Calibri" w:cs="Calibri"/>
                <w:color w:val="000000"/>
              </w:rPr>
              <w:lastRenderedPageBreak/>
              <w:t xml:space="preserve">A total of </w:t>
            </w:r>
            <w:r>
              <w:rPr>
                <w:rFonts w:ascii="Calibri" w:hAnsi="Calibri" w:cs="Calibri"/>
                <w:color w:val="000000"/>
              </w:rPr>
              <w:t xml:space="preserve">7 </w:t>
            </w:r>
            <w:r w:rsidR="00274B9B">
              <w:rPr>
                <w:rFonts w:ascii="Calibri" w:hAnsi="Calibri" w:cs="Calibri"/>
                <w:color w:val="000000"/>
              </w:rPr>
              <w:t xml:space="preserve">of the </w:t>
            </w:r>
            <w:r>
              <w:rPr>
                <w:rFonts w:ascii="Calibri" w:hAnsi="Calibri" w:cs="Calibri"/>
                <w:color w:val="000000"/>
              </w:rPr>
              <w:t xml:space="preserve">sample projects yielded a </w:t>
            </w:r>
            <w:r w:rsidR="00274B9B">
              <w:rPr>
                <w:rFonts w:ascii="Calibri" w:hAnsi="Calibri" w:cs="Calibri"/>
                <w:color w:val="000000"/>
              </w:rPr>
              <w:t>percentage</w:t>
            </w:r>
            <w:r>
              <w:rPr>
                <w:rFonts w:ascii="Calibri" w:hAnsi="Calibri" w:cs="Calibri"/>
                <w:color w:val="000000"/>
              </w:rPr>
              <w:t xml:space="preserve"> for corrective measures based on available data as follows:</w:t>
            </w:r>
            <w:r>
              <w:rPr>
                <w:rFonts w:ascii="Calibri" w:hAnsi="Calibri" w:cs="Calibri"/>
                <w:color w:val="000000"/>
              </w:rPr>
              <w:br/>
            </w:r>
            <w:r>
              <w:rPr>
                <w:rFonts w:ascii="Calibri" w:hAnsi="Calibri" w:cs="Calibri"/>
                <w:color w:val="000000"/>
              </w:rPr>
              <w:br/>
              <w:t>Oxfam Tajikistan = 85%</w:t>
            </w:r>
            <w:r>
              <w:rPr>
                <w:rFonts w:ascii="Calibri" w:hAnsi="Calibri" w:cs="Calibri"/>
                <w:color w:val="000000"/>
              </w:rPr>
              <w:br/>
              <w:t>SEND Ghana = 61.5%</w:t>
            </w:r>
            <w:r>
              <w:rPr>
                <w:rFonts w:ascii="Calibri" w:hAnsi="Calibri" w:cs="Calibri"/>
                <w:color w:val="000000"/>
              </w:rPr>
              <w:br/>
              <w:t>Save Georgia = 51%</w:t>
            </w:r>
            <w:r>
              <w:rPr>
                <w:rFonts w:ascii="Calibri" w:hAnsi="Calibri" w:cs="Calibri"/>
                <w:color w:val="000000"/>
              </w:rPr>
              <w:br/>
              <w:t>AFIC Uganda = 36%</w:t>
            </w:r>
            <w:r>
              <w:rPr>
                <w:rFonts w:ascii="Calibri" w:hAnsi="Calibri" w:cs="Calibri"/>
                <w:color w:val="000000"/>
              </w:rPr>
              <w:br/>
              <w:t>CCAG Philippines = 75%</w:t>
            </w:r>
            <w:r>
              <w:rPr>
                <w:rFonts w:ascii="Calibri" w:hAnsi="Calibri" w:cs="Calibri"/>
                <w:color w:val="000000"/>
              </w:rPr>
              <w:br/>
              <w:t>SAHA Madagascar = 76%</w:t>
            </w:r>
            <w:r>
              <w:rPr>
                <w:rFonts w:ascii="Calibri" w:hAnsi="Calibri" w:cs="Calibri"/>
                <w:color w:val="000000"/>
              </w:rPr>
              <w:br/>
              <w:t>CIRD Paraguay = 80%</w:t>
            </w:r>
          </w:p>
          <w:p w14:paraId="74D0D78A" w14:textId="77777777" w:rsidR="006E74A2" w:rsidRDefault="006E74A2" w:rsidP="006E74A2">
            <w:pPr>
              <w:rPr>
                <w:rFonts w:ascii="Arial" w:hAnsi="Arial" w:cs="Arial"/>
                <w:sz w:val="20"/>
                <w:szCs w:val="20"/>
              </w:rPr>
            </w:pPr>
          </w:p>
        </w:tc>
      </w:tr>
      <w:tr w:rsidR="006E74A2" w:rsidRPr="0061121A" w14:paraId="7B46BAB6" w14:textId="77777777" w:rsidTr="00274B9B">
        <w:tc>
          <w:tcPr>
            <w:tcW w:w="3823" w:type="dxa"/>
          </w:tcPr>
          <w:p w14:paraId="679F4A32" w14:textId="5C61FDC4" w:rsidR="006E74A2" w:rsidRPr="003157E4" w:rsidRDefault="006E74A2" w:rsidP="006E74A2">
            <w:pPr>
              <w:pStyle w:val="Normal1"/>
              <w:spacing w:before="120" w:after="120"/>
              <w:ind w:left="90" w:right="-90"/>
              <w:contextualSpacing w:val="0"/>
              <w:rPr>
                <w:rFonts w:ascii="Arial" w:eastAsia="Times New Roman" w:hAnsi="Arial" w:cs="Arial"/>
                <w:color w:val="auto"/>
                <w:sz w:val="20"/>
                <w:szCs w:val="20"/>
              </w:rPr>
            </w:pPr>
            <w:r>
              <w:rPr>
                <w:rFonts w:ascii="Arial" w:eastAsiaTheme="majorEastAsia" w:hAnsi="Arial" w:cs="Arial"/>
                <w:color w:val="auto"/>
                <w:sz w:val="20"/>
                <w:szCs w:val="20"/>
              </w:rPr>
              <w:lastRenderedPageBreak/>
              <w:t xml:space="preserve">Outcome indicator 2) </w:t>
            </w:r>
            <w:r w:rsidRPr="003157E4">
              <w:rPr>
                <w:rFonts w:ascii="Arial" w:eastAsiaTheme="majorEastAsia" w:hAnsi="Arial" w:cs="Arial"/>
                <w:color w:val="auto"/>
                <w:sz w:val="20"/>
                <w:szCs w:val="20"/>
              </w:rPr>
              <w:t xml:space="preserve">Percentage of GPSA </w:t>
            </w:r>
            <w:r w:rsidRPr="003157E4">
              <w:rPr>
                <w:rFonts w:ascii="Arial" w:eastAsia="Times New Roman" w:hAnsi="Arial" w:cs="Arial"/>
                <w:color w:val="auto"/>
                <w:sz w:val="20"/>
                <w:szCs w:val="20"/>
              </w:rPr>
              <w:t>grants in which civil society partnerships and relevant, targeted public sector counterparts engage in collaborative social accountability processes that include citizens.</w:t>
            </w:r>
          </w:p>
          <w:p w14:paraId="445CA23F" w14:textId="77777777" w:rsidR="006E74A2" w:rsidRPr="00EF3585" w:rsidRDefault="006E74A2" w:rsidP="006E74A2">
            <w:pPr>
              <w:rPr>
                <w:rFonts w:ascii="Arial" w:hAnsi="Arial" w:cs="Arial"/>
                <w:sz w:val="20"/>
                <w:szCs w:val="20"/>
                <w:lang w:val="en-US"/>
              </w:rPr>
            </w:pPr>
          </w:p>
        </w:tc>
        <w:tc>
          <w:tcPr>
            <w:tcW w:w="2410" w:type="dxa"/>
          </w:tcPr>
          <w:p w14:paraId="788A5500" w14:textId="77777777" w:rsidR="006E74A2" w:rsidRDefault="006E74A2" w:rsidP="006E74A2">
            <w:pPr>
              <w:rPr>
                <w:rFonts w:ascii="Calibri" w:hAnsi="Calibri" w:cs="Calibri"/>
                <w:color w:val="000000"/>
              </w:rPr>
            </w:pPr>
            <w:r>
              <w:rPr>
                <w:rFonts w:ascii="Calibri" w:hAnsi="Calibri" w:cs="Calibri"/>
                <w:color w:val="000000"/>
              </w:rPr>
              <w:t>100% (15/15 projects)</w:t>
            </w:r>
          </w:p>
          <w:p w14:paraId="30C92A59" w14:textId="77777777" w:rsidR="006E74A2" w:rsidRDefault="006E74A2" w:rsidP="006E74A2">
            <w:pPr>
              <w:rPr>
                <w:rFonts w:ascii="Arial" w:hAnsi="Arial" w:cs="Arial"/>
                <w:sz w:val="20"/>
                <w:szCs w:val="20"/>
              </w:rPr>
            </w:pPr>
          </w:p>
        </w:tc>
        <w:tc>
          <w:tcPr>
            <w:tcW w:w="3968" w:type="dxa"/>
          </w:tcPr>
          <w:p w14:paraId="306A5B8B" w14:textId="3CBCE114" w:rsidR="006E74A2" w:rsidRPr="00DC31A4" w:rsidRDefault="006B2B1D" w:rsidP="006E74A2">
            <w:pPr>
              <w:rPr>
                <w:rFonts w:ascii="Arial" w:hAnsi="Arial" w:cs="Arial"/>
                <w:sz w:val="20"/>
                <w:szCs w:val="20"/>
                <w:lang w:val="pt-BR"/>
              </w:rPr>
            </w:pPr>
            <w:r w:rsidRPr="00DC31A4">
              <w:rPr>
                <w:rFonts w:ascii="Arial" w:hAnsi="Arial" w:cs="Arial"/>
                <w:sz w:val="20"/>
                <w:szCs w:val="20"/>
                <w:lang w:val="pt-BR"/>
              </w:rPr>
              <w:t>N/A – yes/no indicator</w:t>
            </w:r>
          </w:p>
        </w:tc>
      </w:tr>
      <w:tr w:rsidR="006E74A2" w:rsidRPr="0061121A" w14:paraId="274B73E3" w14:textId="77777777" w:rsidTr="00274B9B">
        <w:tc>
          <w:tcPr>
            <w:tcW w:w="3823" w:type="dxa"/>
          </w:tcPr>
          <w:p w14:paraId="6375C270" w14:textId="32741701" w:rsidR="006E74A2" w:rsidRDefault="006E74A2" w:rsidP="006E74A2">
            <w:pPr>
              <w:rPr>
                <w:rFonts w:ascii="Arial" w:hAnsi="Arial" w:cs="Arial"/>
                <w:sz w:val="20"/>
                <w:szCs w:val="20"/>
              </w:rPr>
            </w:pPr>
            <w:r w:rsidRPr="00D56FCB">
              <w:rPr>
                <w:rFonts w:ascii="Arial" w:eastAsia="Times New Roman" w:hAnsi="Arial" w:cs="Arial"/>
                <w:b/>
                <w:bCs/>
                <w:sz w:val="20"/>
                <w:szCs w:val="20"/>
              </w:rPr>
              <w:t>Outcome indicator 3)</w:t>
            </w:r>
            <w:r>
              <w:rPr>
                <w:rFonts w:ascii="Arial" w:eastAsia="Times New Roman" w:hAnsi="Arial" w:cs="Arial"/>
                <w:sz w:val="20"/>
                <w:szCs w:val="20"/>
              </w:rPr>
              <w:t xml:space="preserve"> </w:t>
            </w:r>
            <w:r w:rsidRPr="003157E4">
              <w:rPr>
                <w:rFonts w:ascii="Arial" w:eastAsia="Times New Roman" w:hAnsi="Arial" w:cs="Arial"/>
                <w:sz w:val="20"/>
                <w:szCs w:val="20"/>
              </w:rPr>
              <w:t xml:space="preserve">Percentage of GPSA grants in which collaborative social accountability </w:t>
            </w:r>
            <w:r w:rsidRPr="003157E4">
              <w:rPr>
                <w:rFonts w:ascii="Arial" w:eastAsiaTheme="majorEastAsia" w:hAnsi="Arial" w:cs="Arial"/>
                <w:sz w:val="20"/>
                <w:szCs w:val="20"/>
              </w:rPr>
              <w:t xml:space="preserve">processes targeted </w:t>
            </w:r>
            <w:r w:rsidRPr="003157E4">
              <w:rPr>
                <w:rFonts w:ascii="Arial" w:eastAsia="Times New Roman" w:hAnsi="Arial" w:cs="Arial"/>
                <w:sz w:val="20"/>
                <w:szCs w:val="20"/>
              </w:rPr>
              <w:t xml:space="preserve">the proximate cause of service delivery failure. </w:t>
            </w:r>
          </w:p>
        </w:tc>
        <w:tc>
          <w:tcPr>
            <w:tcW w:w="2410" w:type="dxa"/>
          </w:tcPr>
          <w:p w14:paraId="6DEBDAFB" w14:textId="77777777" w:rsidR="006E74A2" w:rsidRDefault="006E74A2" w:rsidP="006E74A2">
            <w:pPr>
              <w:rPr>
                <w:rFonts w:ascii="Calibri" w:hAnsi="Calibri" w:cs="Calibri"/>
                <w:color w:val="000000"/>
              </w:rPr>
            </w:pPr>
            <w:r>
              <w:rPr>
                <w:rFonts w:ascii="Calibri" w:hAnsi="Calibri" w:cs="Calibri"/>
                <w:color w:val="000000"/>
              </w:rPr>
              <w:t>100% (15/15 projects)</w:t>
            </w:r>
          </w:p>
          <w:p w14:paraId="37B1394D" w14:textId="77777777" w:rsidR="006E74A2" w:rsidRDefault="006E74A2" w:rsidP="006E74A2">
            <w:pPr>
              <w:rPr>
                <w:rFonts w:ascii="Arial" w:hAnsi="Arial" w:cs="Arial"/>
                <w:sz w:val="20"/>
                <w:szCs w:val="20"/>
              </w:rPr>
            </w:pPr>
          </w:p>
        </w:tc>
        <w:tc>
          <w:tcPr>
            <w:tcW w:w="3968" w:type="dxa"/>
          </w:tcPr>
          <w:p w14:paraId="24F0070E" w14:textId="35139C8D" w:rsidR="006E74A2" w:rsidRPr="00DC31A4" w:rsidRDefault="006B2B1D" w:rsidP="006E74A2">
            <w:pPr>
              <w:rPr>
                <w:rFonts w:ascii="Arial" w:hAnsi="Arial" w:cs="Arial"/>
                <w:sz w:val="20"/>
                <w:szCs w:val="20"/>
                <w:lang w:val="pt-BR"/>
              </w:rPr>
            </w:pPr>
            <w:r w:rsidRPr="00DC31A4">
              <w:rPr>
                <w:rFonts w:ascii="Arial" w:hAnsi="Arial" w:cs="Arial"/>
                <w:sz w:val="20"/>
                <w:szCs w:val="20"/>
                <w:lang w:val="pt-BR"/>
              </w:rPr>
              <w:t>N/A - yes/no indicator</w:t>
            </w:r>
          </w:p>
        </w:tc>
      </w:tr>
      <w:tr w:rsidR="006E74A2" w14:paraId="088FBCBF" w14:textId="77777777" w:rsidTr="00274B9B">
        <w:tc>
          <w:tcPr>
            <w:tcW w:w="3823" w:type="dxa"/>
          </w:tcPr>
          <w:p w14:paraId="3CACAB4A" w14:textId="5A88F739" w:rsidR="006E74A2" w:rsidRPr="003157E4" w:rsidRDefault="006E74A2" w:rsidP="006E74A2">
            <w:pPr>
              <w:pStyle w:val="Normal1"/>
              <w:spacing w:before="120" w:after="120"/>
              <w:ind w:left="90" w:right="-90"/>
              <w:contextualSpacing w:val="0"/>
              <w:rPr>
                <w:rFonts w:ascii="Arial" w:eastAsia="Times New Roman" w:hAnsi="Arial" w:cs="Arial"/>
                <w:color w:val="auto"/>
                <w:sz w:val="20"/>
                <w:szCs w:val="20"/>
              </w:rPr>
            </w:pPr>
            <w:r w:rsidRPr="00D56FCB">
              <w:rPr>
                <w:rFonts w:ascii="Arial" w:eastAsiaTheme="majorEastAsia" w:hAnsi="Arial" w:cs="Arial"/>
                <w:b/>
                <w:bCs/>
                <w:color w:val="auto"/>
                <w:sz w:val="20"/>
                <w:szCs w:val="20"/>
              </w:rPr>
              <w:t>Outcome Indicator 4a)</w:t>
            </w:r>
            <w:r w:rsidRPr="003157E4">
              <w:rPr>
                <w:rFonts w:ascii="Arial" w:eastAsiaTheme="majorEastAsia" w:hAnsi="Arial" w:cs="Arial"/>
                <w:color w:val="auto"/>
                <w:sz w:val="20"/>
                <w:szCs w:val="20"/>
              </w:rPr>
              <w:t xml:space="preserve"> Percentage of GPSA </w:t>
            </w:r>
            <w:r w:rsidRPr="003157E4">
              <w:rPr>
                <w:rFonts w:ascii="Arial" w:eastAsia="Times New Roman" w:hAnsi="Arial" w:cs="Arial"/>
                <w:color w:val="auto"/>
                <w:sz w:val="20"/>
                <w:szCs w:val="20"/>
              </w:rPr>
              <w:t>grants in which governments seek to:</w:t>
            </w:r>
          </w:p>
          <w:p w14:paraId="4734054F" w14:textId="77777777" w:rsidR="006E74A2" w:rsidRPr="003157E4" w:rsidRDefault="006E74A2" w:rsidP="006E74A2">
            <w:pPr>
              <w:pStyle w:val="Normal1"/>
              <w:numPr>
                <w:ilvl w:val="0"/>
                <w:numId w:val="9"/>
              </w:numPr>
              <w:spacing w:before="120" w:after="120"/>
              <w:ind w:right="-90"/>
              <w:contextualSpacing w:val="0"/>
              <w:rPr>
                <w:rFonts w:ascii="Arial" w:eastAsia="Times New Roman" w:hAnsi="Arial" w:cs="Arial"/>
                <w:color w:val="auto"/>
                <w:sz w:val="20"/>
                <w:szCs w:val="20"/>
              </w:rPr>
            </w:pPr>
            <w:r w:rsidRPr="003157E4">
              <w:rPr>
                <w:rFonts w:ascii="Arial" w:eastAsia="Calibri" w:hAnsi="Arial" w:cs="Arial"/>
                <w:color w:val="auto"/>
                <w:sz w:val="20"/>
                <w:szCs w:val="20"/>
              </w:rPr>
              <w:t>Use substantive lessons for improvements of targeted policies, processes, and mechanisms;</w:t>
            </w:r>
          </w:p>
          <w:p w14:paraId="31BC6FDB" w14:textId="77777777" w:rsidR="006E74A2" w:rsidRPr="003157E4" w:rsidRDefault="006E74A2" w:rsidP="006E74A2">
            <w:pPr>
              <w:pStyle w:val="Normal1"/>
              <w:numPr>
                <w:ilvl w:val="0"/>
                <w:numId w:val="9"/>
              </w:numPr>
              <w:spacing w:before="120" w:after="120"/>
              <w:ind w:right="-90"/>
              <w:contextualSpacing w:val="0"/>
              <w:rPr>
                <w:rFonts w:ascii="Arial" w:eastAsia="Times New Roman" w:hAnsi="Arial" w:cs="Arial"/>
                <w:color w:val="auto"/>
                <w:sz w:val="20"/>
                <w:szCs w:val="20"/>
              </w:rPr>
            </w:pPr>
            <w:r w:rsidRPr="003157E4">
              <w:rPr>
                <w:rFonts w:ascii="Arial" w:eastAsia="Times New Roman" w:hAnsi="Arial" w:cs="Arial"/>
                <w:color w:val="auto"/>
                <w:sz w:val="20"/>
                <w:szCs w:val="20"/>
              </w:rPr>
              <w:t>Sustain elements of collaborative social accountability processes after the life of the project;</w:t>
            </w:r>
          </w:p>
          <w:p w14:paraId="251BFB54" w14:textId="77777777" w:rsidR="006E74A2" w:rsidRPr="003157E4" w:rsidRDefault="006E74A2" w:rsidP="006E74A2">
            <w:pPr>
              <w:pStyle w:val="Normal1"/>
              <w:numPr>
                <w:ilvl w:val="0"/>
                <w:numId w:val="9"/>
              </w:numPr>
              <w:spacing w:before="120" w:after="120"/>
              <w:ind w:right="-90"/>
              <w:contextualSpacing w:val="0"/>
              <w:rPr>
                <w:rFonts w:ascii="Arial" w:hAnsi="Arial" w:cs="Arial"/>
                <w:color w:val="auto"/>
                <w:sz w:val="20"/>
                <w:szCs w:val="20"/>
              </w:rPr>
            </w:pPr>
            <w:r w:rsidRPr="003157E4">
              <w:rPr>
                <w:rFonts w:ascii="Arial" w:eastAsia="Times New Roman" w:hAnsi="Arial" w:cs="Arial"/>
                <w:color w:val="auto"/>
                <w:sz w:val="20"/>
                <w:szCs w:val="20"/>
              </w:rPr>
              <w:t>Adapt insights from GPSA projects to scale them through programs or policies;</w:t>
            </w:r>
            <w:r w:rsidRPr="003157E4">
              <w:rPr>
                <w:rFonts w:ascii="Arial" w:hAnsi="Arial" w:cs="Arial"/>
                <w:color w:val="auto"/>
                <w:sz w:val="20"/>
                <w:szCs w:val="20"/>
              </w:rPr>
              <w:t xml:space="preserve"> or </w:t>
            </w:r>
          </w:p>
          <w:p w14:paraId="4673A371" w14:textId="63E80593" w:rsidR="006E74A2" w:rsidRPr="00D56FCB" w:rsidRDefault="006E74A2" w:rsidP="00D56FCB">
            <w:pPr>
              <w:pStyle w:val="Normal1"/>
              <w:numPr>
                <w:ilvl w:val="0"/>
                <w:numId w:val="9"/>
              </w:numPr>
              <w:spacing w:before="120" w:after="120"/>
              <w:ind w:right="-90"/>
              <w:contextualSpacing w:val="0"/>
              <w:rPr>
                <w:rFonts w:ascii="Arial" w:eastAsia="Times New Roman" w:hAnsi="Arial" w:cs="Arial"/>
                <w:color w:val="auto"/>
                <w:sz w:val="20"/>
                <w:szCs w:val="20"/>
              </w:rPr>
            </w:pPr>
            <w:r w:rsidRPr="003157E4">
              <w:rPr>
                <w:rFonts w:ascii="Arial" w:eastAsia="Times New Roman" w:hAnsi="Arial" w:cs="Arial"/>
                <w:color w:val="auto"/>
                <w:sz w:val="20"/>
                <w:szCs w:val="20"/>
              </w:rPr>
              <w:t xml:space="preserve">Apply </w:t>
            </w:r>
            <w:r w:rsidRPr="003157E4">
              <w:rPr>
                <w:rFonts w:ascii="Arial" w:eastAsiaTheme="majorEastAsia" w:hAnsi="Arial" w:cs="Arial"/>
                <w:color w:val="auto"/>
                <w:sz w:val="20"/>
                <w:szCs w:val="20"/>
              </w:rPr>
              <w:t xml:space="preserve">elements of collaborative social accountability processes </w:t>
            </w:r>
            <w:r w:rsidRPr="003157E4">
              <w:rPr>
                <w:rFonts w:ascii="Arial" w:eastAsia="Times New Roman" w:hAnsi="Arial" w:cs="Arial"/>
                <w:color w:val="auto"/>
                <w:sz w:val="20"/>
                <w:szCs w:val="20"/>
              </w:rPr>
              <w:t>in additional localities or sectors.</w:t>
            </w:r>
          </w:p>
          <w:p w14:paraId="14A9901A" w14:textId="0A532C1F" w:rsidR="006E74A2" w:rsidRPr="00EF3585" w:rsidRDefault="006E74A2" w:rsidP="00D56FCB">
            <w:pPr>
              <w:pStyle w:val="Normal1"/>
              <w:spacing w:before="120" w:after="120"/>
              <w:ind w:left="90" w:right="-90"/>
              <w:contextualSpacing w:val="0"/>
              <w:rPr>
                <w:rFonts w:ascii="Arial" w:eastAsia="Times New Roman" w:hAnsi="Arial" w:cs="Arial"/>
                <w:color w:val="auto"/>
                <w:sz w:val="20"/>
                <w:szCs w:val="20"/>
              </w:rPr>
            </w:pPr>
            <w:r w:rsidRPr="003157E4">
              <w:rPr>
                <w:rFonts w:ascii="Arial" w:eastAsia="Times New Roman" w:hAnsi="Arial" w:cs="Arial"/>
                <w:color w:val="auto"/>
                <w:sz w:val="20"/>
                <w:szCs w:val="20"/>
              </w:rPr>
              <w:t>Note: this can be done through the government’s own reform program, donor-funded programs, or Bank-financed programs</w:t>
            </w:r>
            <w:proofErr w:type="gramStart"/>
            <w:r w:rsidRPr="003157E4">
              <w:rPr>
                <w:rFonts w:ascii="Arial" w:eastAsia="Times New Roman" w:hAnsi="Arial" w:cs="Arial"/>
                <w:color w:val="auto"/>
                <w:sz w:val="20"/>
                <w:szCs w:val="20"/>
              </w:rPr>
              <w:t xml:space="preserve">.  </w:t>
            </w:r>
            <w:proofErr w:type="gramEnd"/>
            <w:r w:rsidRPr="003157E4">
              <w:rPr>
                <w:rFonts w:ascii="Arial" w:eastAsia="Times New Roman" w:hAnsi="Arial" w:cs="Arial"/>
                <w:color w:val="auto"/>
                <w:sz w:val="20"/>
                <w:szCs w:val="20"/>
              </w:rPr>
              <w:t xml:space="preserve"> </w:t>
            </w:r>
            <w:r w:rsidR="00D56FCB" w:rsidRPr="003157E4">
              <w:rPr>
                <w:rFonts w:ascii="Arial" w:eastAsia="Times New Roman" w:hAnsi="Arial" w:cs="Arial"/>
                <w:color w:val="auto"/>
                <w:sz w:val="20"/>
                <w:szCs w:val="20"/>
              </w:rPr>
              <w:t>[Target: 25%]</w:t>
            </w:r>
          </w:p>
        </w:tc>
        <w:tc>
          <w:tcPr>
            <w:tcW w:w="2410" w:type="dxa"/>
          </w:tcPr>
          <w:p w14:paraId="4EA09EBD" w14:textId="77777777" w:rsidR="006E74A2" w:rsidRDefault="006E74A2" w:rsidP="006E74A2">
            <w:pPr>
              <w:rPr>
                <w:rFonts w:ascii="Calibri" w:hAnsi="Calibri" w:cs="Calibri"/>
                <w:color w:val="000000"/>
              </w:rPr>
            </w:pPr>
            <w:r>
              <w:rPr>
                <w:rFonts w:ascii="Calibri" w:hAnsi="Calibri" w:cs="Calibri"/>
                <w:color w:val="000000"/>
              </w:rPr>
              <w:t>100% (15/15 projects)</w:t>
            </w:r>
          </w:p>
          <w:p w14:paraId="4809F79B" w14:textId="77777777" w:rsidR="006E74A2" w:rsidRDefault="006E74A2" w:rsidP="006E74A2">
            <w:pPr>
              <w:rPr>
                <w:rFonts w:ascii="Arial" w:hAnsi="Arial" w:cs="Arial"/>
                <w:sz w:val="20"/>
                <w:szCs w:val="20"/>
              </w:rPr>
            </w:pPr>
          </w:p>
        </w:tc>
        <w:tc>
          <w:tcPr>
            <w:tcW w:w="3968" w:type="dxa"/>
          </w:tcPr>
          <w:p w14:paraId="500E58BE" w14:textId="48371DA0" w:rsidR="006B2B1D" w:rsidRPr="006B2B1D" w:rsidRDefault="006B2B1D" w:rsidP="006B2B1D">
            <w:pPr>
              <w:rPr>
                <w:rFonts w:ascii="Arial" w:hAnsi="Arial" w:cs="Arial"/>
                <w:sz w:val="20"/>
                <w:szCs w:val="20"/>
              </w:rPr>
            </w:pPr>
            <w:r w:rsidRPr="006B2B1D">
              <w:rPr>
                <w:rFonts w:ascii="Arial" w:hAnsi="Arial" w:cs="Arial"/>
                <w:sz w:val="20"/>
                <w:szCs w:val="20"/>
              </w:rPr>
              <w:t xml:space="preserve">Sustainability scores for each project also assessed on a scale from 1-5 (0%, 25%, 50%, 75% </w:t>
            </w:r>
            <w:r w:rsidR="00274B9B">
              <w:rPr>
                <w:rFonts w:ascii="Arial" w:hAnsi="Arial" w:cs="Arial"/>
                <w:sz w:val="20"/>
                <w:szCs w:val="20"/>
              </w:rPr>
              <w:t xml:space="preserve">and </w:t>
            </w:r>
            <w:r w:rsidRPr="006B2B1D">
              <w:rPr>
                <w:rFonts w:ascii="Arial" w:hAnsi="Arial" w:cs="Arial"/>
                <w:sz w:val="20"/>
                <w:szCs w:val="20"/>
              </w:rPr>
              <w:t>100%)</w:t>
            </w:r>
            <w:r w:rsidR="00274B9B">
              <w:rPr>
                <w:rFonts w:ascii="Arial" w:hAnsi="Arial" w:cs="Arial"/>
                <w:sz w:val="20"/>
                <w:szCs w:val="20"/>
              </w:rPr>
              <w:t xml:space="preserve"> – see full explanation under outcome 4 below.</w:t>
            </w:r>
          </w:p>
          <w:p w14:paraId="516F6370" w14:textId="77777777" w:rsidR="006B2B1D" w:rsidRPr="006B2B1D" w:rsidRDefault="006B2B1D" w:rsidP="006B2B1D">
            <w:pPr>
              <w:rPr>
                <w:rFonts w:ascii="Arial" w:hAnsi="Arial" w:cs="Arial"/>
                <w:sz w:val="20"/>
                <w:szCs w:val="20"/>
              </w:rPr>
            </w:pPr>
          </w:p>
          <w:p w14:paraId="3946A78A" w14:textId="5A9DD876" w:rsidR="006B2B1D" w:rsidRDefault="006B2B1D" w:rsidP="006B2B1D">
            <w:pPr>
              <w:rPr>
                <w:rFonts w:ascii="Arial" w:hAnsi="Arial" w:cs="Arial"/>
                <w:sz w:val="20"/>
                <w:szCs w:val="20"/>
              </w:rPr>
            </w:pPr>
            <w:r w:rsidRPr="006B2B1D">
              <w:rPr>
                <w:rFonts w:ascii="Arial" w:hAnsi="Arial" w:cs="Arial"/>
                <w:sz w:val="20"/>
                <w:szCs w:val="20"/>
              </w:rPr>
              <w:t>Breakdown</w:t>
            </w:r>
            <w:r w:rsidR="00274B9B">
              <w:rPr>
                <w:rFonts w:ascii="Arial" w:hAnsi="Arial" w:cs="Arial"/>
                <w:sz w:val="20"/>
                <w:szCs w:val="20"/>
              </w:rPr>
              <w:t xml:space="preserve"> of sample by sustainability ranking</w:t>
            </w:r>
            <w:r w:rsidRPr="006B2B1D">
              <w:rPr>
                <w:rFonts w:ascii="Arial" w:hAnsi="Arial" w:cs="Arial"/>
                <w:sz w:val="20"/>
                <w:szCs w:val="20"/>
              </w:rPr>
              <w:t>:</w:t>
            </w:r>
          </w:p>
          <w:p w14:paraId="748600DA" w14:textId="77777777" w:rsidR="00274B9B" w:rsidRPr="006B2B1D" w:rsidRDefault="00274B9B" w:rsidP="006B2B1D">
            <w:pPr>
              <w:rPr>
                <w:rFonts w:ascii="Arial" w:hAnsi="Arial" w:cs="Arial"/>
                <w:sz w:val="20"/>
                <w:szCs w:val="20"/>
              </w:rPr>
            </w:pPr>
          </w:p>
          <w:p w14:paraId="66962987" w14:textId="2794EB6B" w:rsidR="006B2B1D" w:rsidRDefault="006B2B1D" w:rsidP="006B2B1D">
            <w:pPr>
              <w:rPr>
                <w:rFonts w:ascii="Arial" w:hAnsi="Arial" w:cs="Arial"/>
                <w:sz w:val="20"/>
                <w:szCs w:val="20"/>
              </w:rPr>
            </w:pPr>
            <w:r w:rsidRPr="006B2B1D">
              <w:rPr>
                <w:rFonts w:ascii="Arial" w:hAnsi="Arial" w:cs="Arial"/>
                <w:sz w:val="20"/>
                <w:szCs w:val="20"/>
              </w:rPr>
              <w:t>1 (0%)</w:t>
            </w:r>
            <w:r w:rsidR="00274B9B">
              <w:rPr>
                <w:rFonts w:ascii="Arial" w:hAnsi="Arial" w:cs="Arial"/>
                <w:sz w:val="20"/>
                <w:szCs w:val="20"/>
              </w:rPr>
              <w:t xml:space="preserve"> </w:t>
            </w:r>
            <w:r w:rsidRPr="006B2B1D">
              <w:rPr>
                <w:rFonts w:ascii="Arial" w:hAnsi="Arial" w:cs="Arial"/>
                <w:sz w:val="20"/>
                <w:szCs w:val="20"/>
              </w:rPr>
              <w:t xml:space="preserve">= </w:t>
            </w:r>
            <w:r w:rsidR="00274B9B">
              <w:rPr>
                <w:rFonts w:ascii="Arial" w:hAnsi="Arial" w:cs="Arial"/>
                <w:sz w:val="20"/>
                <w:szCs w:val="20"/>
              </w:rPr>
              <w:t xml:space="preserve">zero </w:t>
            </w:r>
            <w:r w:rsidRPr="006B2B1D">
              <w:rPr>
                <w:rFonts w:ascii="Arial" w:hAnsi="Arial" w:cs="Arial"/>
                <w:sz w:val="20"/>
                <w:szCs w:val="20"/>
              </w:rPr>
              <w:t>projects</w:t>
            </w:r>
          </w:p>
          <w:p w14:paraId="171825D7" w14:textId="77777777" w:rsidR="00274B9B" w:rsidRPr="006B2B1D" w:rsidRDefault="00274B9B" w:rsidP="006B2B1D">
            <w:pPr>
              <w:rPr>
                <w:rFonts w:ascii="Arial" w:hAnsi="Arial" w:cs="Arial"/>
                <w:sz w:val="20"/>
                <w:szCs w:val="20"/>
              </w:rPr>
            </w:pPr>
          </w:p>
          <w:p w14:paraId="47ABABC5" w14:textId="78F3DFC2" w:rsidR="00274B9B" w:rsidRPr="006B2B1D" w:rsidRDefault="006B2B1D" w:rsidP="00274B9B">
            <w:pPr>
              <w:rPr>
                <w:rFonts w:ascii="Arial" w:hAnsi="Arial" w:cs="Arial"/>
                <w:sz w:val="20"/>
                <w:szCs w:val="20"/>
              </w:rPr>
            </w:pPr>
            <w:r w:rsidRPr="006B2B1D">
              <w:rPr>
                <w:rFonts w:ascii="Arial" w:hAnsi="Arial" w:cs="Arial"/>
                <w:sz w:val="20"/>
                <w:szCs w:val="20"/>
              </w:rPr>
              <w:t>2 (25%)</w:t>
            </w:r>
            <w:r w:rsidR="00274B9B">
              <w:rPr>
                <w:rFonts w:ascii="Arial" w:hAnsi="Arial" w:cs="Arial"/>
                <w:sz w:val="20"/>
                <w:szCs w:val="20"/>
              </w:rPr>
              <w:t xml:space="preserve"> </w:t>
            </w:r>
            <w:r w:rsidRPr="006B2B1D">
              <w:rPr>
                <w:rFonts w:ascii="Arial" w:hAnsi="Arial" w:cs="Arial"/>
                <w:sz w:val="20"/>
                <w:szCs w:val="20"/>
              </w:rPr>
              <w:t xml:space="preserve">= </w:t>
            </w:r>
            <w:r w:rsidR="00274B9B" w:rsidRPr="006B2B1D">
              <w:rPr>
                <w:rFonts w:ascii="Arial" w:hAnsi="Arial" w:cs="Arial"/>
                <w:sz w:val="20"/>
                <w:szCs w:val="20"/>
              </w:rPr>
              <w:t>2 projects or 13.3%</w:t>
            </w:r>
          </w:p>
          <w:p w14:paraId="29C41C6D" w14:textId="16B8AB5D" w:rsidR="006B2B1D" w:rsidRPr="006B2B1D" w:rsidRDefault="00274B9B" w:rsidP="006B2B1D">
            <w:pPr>
              <w:rPr>
                <w:rFonts w:ascii="Arial" w:hAnsi="Arial" w:cs="Arial"/>
                <w:sz w:val="20"/>
                <w:szCs w:val="20"/>
              </w:rPr>
            </w:pPr>
            <w:r>
              <w:rPr>
                <w:rFonts w:ascii="Arial" w:hAnsi="Arial" w:cs="Arial"/>
                <w:sz w:val="20"/>
                <w:szCs w:val="20"/>
              </w:rPr>
              <w:t>(</w:t>
            </w:r>
            <w:r w:rsidR="006B2B1D" w:rsidRPr="006B2B1D">
              <w:rPr>
                <w:rFonts w:ascii="Arial" w:hAnsi="Arial" w:cs="Arial"/>
                <w:sz w:val="20"/>
                <w:szCs w:val="20"/>
              </w:rPr>
              <w:t>CARE Morocco; SEBA Bangladesh</w:t>
            </w:r>
            <w:r>
              <w:rPr>
                <w:rFonts w:ascii="Arial" w:hAnsi="Arial" w:cs="Arial"/>
                <w:sz w:val="20"/>
                <w:szCs w:val="20"/>
              </w:rPr>
              <w:t>)</w:t>
            </w:r>
          </w:p>
          <w:p w14:paraId="36DBA372" w14:textId="77777777" w:rsidR="00274B9B" w:rsidRDefault="00274B9B" w:rsidP="00274B9B">
            <w:pPr>
              <w:rPr>
                <w:rFonts w:ascii="Arial" w:hAnsi="Arial" w:cs="Arial"/>
                <w:sz w:val="20"/>
                <w:szCs w:val="20"/>
              </w:rPr>
            </w:pPr>
          </w:p>
          <w:p w14:paraId="3E5FDD4A" w14:textId="3EDBFFE0" w:rsidR="00274B9B" w:rsidRPr="006B2B1D" w:rsidRDefault="006B2B1D" w:rsidP="00274B9B">
            <w:pPr>
              <w:rPr>
                <w:rFonts w:ascii="Arial" w:hAnsi="Arial" w:cs="Arial"/>
                <w:sz w:val="20"/>
                <w:szCs w:val="20"/>
              </w:rPr>
            </w:pPr>
            <w:r w:rsidRPr="006B2B1D">
              <w:rPr>
                <w:rFonts w:ascii="Arial" w:hAnsi="Arial" w:cs="Arial"/>
                <w:sz w:val="20"/>
                <w:szCs w:val="20"/>
              </w:rPr>
              <w:t>3 (50%)</w:t>
            </w:r>
            <w:r w:rsidR="00274B9B">
              <w:rPr>
                <w:rFonts w:ascii="Arial" w:hAnsi="Arial" w:cs="Arial"/>
                <w:sz w:val="20"/>
                <w:szCs w:val="20"/>
              </w:rPr>
              <w:t xml:space="preserve"> </w:t>
            </w:r>
            <w:r w:rsidRPr="006B2B1D">
              <w:rPr>
                <w:rFonts w:ascii="Arial" w:hAnsi="Arial" w:cs="Arial"/>
                <w:sz w:val="20"/>
                <w:szCs w:val="20"/>
              </w:rPr>
              <w:t>=</w:t>
            </w:r>
            <w:r w:rsidR="00274B9B">
              <w:rPr>
                <w:rFonts w:ascii="Arial" w:hAnsi="Arial" w:cs="Arial"/>
                <w:sz w:val="20"/>
                <w:szCs w:val="20"/>
              </w:rPr>
              <w:t xml:space="preserve"> </w:t>
            </w:r>
            <w:r w:rsidR="00274B9B" w:rsidRPr="006B2B1D">
              <w:rPr>
                <w:rFonts w:ascii="Arial" w:hAnsi="Arial" w:cs="Arial"/>
                <w:sz w:val="20"/>
                <w:szCs w:val="20"/>
              </w:rPr>
              <w:t>4 projects or 26.7%</w:t>
            </w:r>
          </w:p>
          <w:p w14:paraId="63834927" w14:textId="0B95939A" w:rsidR="006B2B1D" w:rsidRPr="006B2B1D" w:rsidRDefault="00274B9B" w:rsidP="006B2B1D">
            <w:pPr>
              <w:rPr>
                <w:rFonts w:ascii="Arial" w:hAnsi="Arial" w:cs="Arial"/>
                <w:sz w:val="20"/>
                <w:szCs w:val="20"/>
              </w:rPr>
            </w:pPr>
            <w:r>
              <w:rPr>
                <w:rFonts w:ascii="Arial" w:hAnsi="Arial" w:cs="Arial"/>
                <w:sz w:val="20"/>
                <w:szCs w:val="20"/>
              </w:rPr>
              <w:t>(</w:t>
            </w:r>
            <w:r w:rsidR="006B2B1D" w:rsidRPr="006B2B1D">
              <w:rPr>
                <w:rFonts w:ascii="Arial" w:hAnsi="Arial" w:cs="Arial"/>
                <w:sz w:val="20"/>
                <w:szCs w:val="20"/>
              </w:rPr>
              <w:t>SEND Ghana; Cordaid DRC; Save Georgia; CIRD Paraguay</w:t>
            </w:r>
            <w:r>
              <w:rPr>
                <w:rFonts w:ascii="Arial" w:hAnsi="Arial" w:cs="Arial"/>
                <w:sz w:val="20"/>
                <w:szCs w:val="20"/>
              </w:rPr>
              <w:t>)</w:t>
            </w:r>
          </w:p>
          <w:p w14:paraId="3D993905" w14:textId="77777777" w:rsidR="00274B9B" w:rsidRDefault="00274B9B" w:rsidP="00274B9B">
            <w:pPr>
              <w:rPr>
                <w:rFonts w:ascii="Arial" w:hAnsi="Arial" w:cs="Arial"/>
                <w:sz w:val="20"/>
                <w:szCs w:val="20"/>
              </w:rPr>
            </w:pPr>
          </w:p>
          <w:p w14:paraId="2010321C" w14:textId="61E759B0" w:rsidR="00274B9B" w:rsidRPr="006B2B1D" w:rsidRDefault="006B2B1D" w:rsidP="00274B9B">
            <w:pPr>
              <w:rPr>
                <w:rFonts w:ascii="Arial" w:hAnsi="Arial" w:cs="Arial"/>
                <w:sz w:val="20"/>
                <w:szCs w:val="20"/>
              </w:rPr>
            </w:pPr>
            <w:r w:rsidRPr="006B2B1D">
              <w:rPr>
                <w:rFonts w:ascii="Arial" w:hAnsi="Arial" w:cs="Arial"/>
                <w:sz w:val="20"/>
                <w:szCs w:val="20"/>
              </w:rPr>
              <w:t>4 (75%)</w:t>
            </w:r>
            <w:r w:rsidR="00274B9B">
              <w:rPr>
                <w:rFonts w:ascii="Arial" w:hAnsi="Arial" w:cs="Arial"/>
                <w:sz w:val="20"/>
                <w:szCs w:val="20"/>
              </w:rPr>
              <w:t xml:space="preserve"> </w:t>
            </w:r>
            <w:r w:rsidRPr="006B2B1D">
              <w:rPr>
                <w:rFonts w:ascii="Arial" w:hAnsi="Arial" w:cs="Arial"/>
                <w:sz w:val="20"/>
                <w:szCs w:val="20"/>
              </w:rPr>
              <w:t xml:space="preserve">= </w:t>
            </w:r>
            <w:r w:rsidR="00274B9B" w:rsidRPr="006B2B1D">
              <w:rPr>
                <w:rFonts w:ascii="Arial" w:hAnsi="Arial" w:cs="Arial"/>
                <w:sz w:val="20"/>
                <w:szCs w:val="20"/>
              </w:rPr>
              <w:t>4 projects or 26.7%</w:t>
            </w:r>
          </w:p>
          <w:p w14:paraId="60E0830B" w14:textId="2E186236" w:rsidR="00274B9B" w:rsidRDefault="00274B9B" w:rsidP="00274B9B">
            <w:pPr>
              <w:rPr>
                <w:rFonts w:ascii="Arial" w:hAnsi="Arial" w:cs="Arial"/>
                <w:sz w:val="20"/>
                <w:szCs w:val="20"/>
              </w:rPr>
            </w:pPr>
            <w:r>
              <w:rPr>
                <w:rFonts w:ascii="Arial" w:hAnsi="Arial" w:cs="Arial"/>
                <w:sz w:val="20"/>
                <w:szCs w:val="20"/>
              </w:rPr>
              <w:t>(</w:t>
            </w:r>
            <w:r w:rsidR="006B2B1D" w:rsidRPr="006B2B1D">
              <w:rPr>
                <w:rFonts w:ascii="Arial" w:hAnsi="Arial" w:cs="Arial"/>
                <w:sz w:val="20"/>
                <w:szCs w:val="20"/>
              </w:rPr>
              <w:t>Wahani Visi Indonesia; Expert Grup Moldova; CCAG Philippines; Oxfam Dominican Republic</w:t>
            </w:r>
            <w:r>
              <w:rPr>
                <w:rFonts w:ascii="Arial" w:hAnsi="Arial" w:cs="Arial"/>
                <w:sz w:val="20"/>
                <w:szCs w:val="20"/>
              </w:rPr>
              <w:t>)</w:t>
            </w:r>
          </w:p>
          <w:p w14:paraId="787C8695" w14:textId="77777777" w:rsidR="00766277" w:rsidRDefault="00766277" w:rsidP="00274B9B">
            <w:pPr>
              <w:rPr>
                <w:rFonts w:ascii="Arial" w:hAnsi="Arial" w:cs="Arial"/>
                <w:sz w:val="20"/>
                <w:szCs w:val="20"/>
              </w:rPr>
            </w:pPr>
          </w:p>
          <w:p w14:paraId="416CDE0F" w14:textId="06D01CF7" w:rsidR="006E74A2" w:rsidRDefault="006B2B1D" w:rsidP="00274B9B">
            <w:pPr>
              <w:rPr>
                <w:rFonts w:ascii="Arial" w:hAnsi="Arial" w:cs="Arial"/>
                <w:sz w:val="20"/>
                <w:szCs w:val="20"/>
              </w:rPr>
            </w:pPr>
            <w:r w:rsidRPr="006B2B1D">
              <w:rPr>
                <w:rFonts w:ascii="Arial" w:hAnsi="Arial" w:cs="Arial"/>
                <w:sz w:val="20"/>
                <w:szCs w:val="20"/>
              </w:rPr>
              <w:t>5 (100%) =</w:t>
            </w:r>
            <w:r w:rsidR="00274B9B">
              <w:rPr>
                <w:rFonts w:ascii="Arial" w:hAnsi="Arial" w:cs="Arial"/>
                <w:sz w:val="20"/>
                <w:szCs w:val="20"/>
              </w:rPr>
              <w:t xml:space="preserve"> </w:t>
            </w:r>
            <w:r w:rsidR="00766277">
              <w:rPr>
                <w:rFonts w:ascii="Arial" w:hAnsi="Arial" w:cs="Arial"/>
                <w:sz w:val="20"/>
                <w:szCs w:val="20"/>
              </w:rPr>
              <w:t xml:space="preserve">5 </w:t>
            </w:r>
            <w:r w:rsidR="00274B9B" w:rsidRPr="006B2B1D">
              <w:rPr>
                <w:rFonts w:ascii="Arial" w:hAnsi="Arial" w:cs="Arial"/>
                <w:sz w:val="20"/>
                <w:szCs w:val="20"/>
              </w:rPr>
              <w:t xml:space="preserve">projects or </w:t>
            </w:r>
            <w:r w:rsidR="00766277">
              <w:rPr>
                <w:rFonts w:ascii="Arial" w:hAnsi="Arial" w:cs="Arial"/>
                <w:sz w:val="20"/>
                <w:szCs w:val="20"/>
              </w:rPr>
              <w:t>33</w:t>
            </w:r>
            <w:r w:rsidR="00866184">
              <w:rPr>
                <w:rFonts w:ascii="Arial" w:hAnsi="Arial" w:cs="Arial"/>
                <w:sz w:val="20"/>
                <w:szCs w:val="20"/>
              </w:rPr>
              <w:t>.3</w:t>
            </w:r>
            <w:r w:rsidR="00274B9B" w:rsidRPr="006B2B1D">
              <w:rPr>
                <w:rFonts w:ascii="Arial" w:hAnsi="Arial" w:cs="Arial"/>
                <w:sz w:val="20"/>
                <w:szCs w:val="20"/>
              </w:rPr>
              <w:t>%</w:t>
            </w:r>
            <w:r w:rsidRPr="006B2B1D">
              <w:rPr>
                <w:rFonts w:ascii="Arial" w:hAnsi="Arial" w:cs="Arial"/>
                <w:sz w:val="20"/>
                <w:szCs w:val="20"/>
              </w:rPr>
              <w:t xml:space="preserve"> </w:t>
            </w:r>
            <w:r w:rsidR="00274B9B">
              <w:rPr>
                <w:rFonts w:ascii="Arial" w:hAnsi="Arial" w:cs="Arial"/>
                <w:sz w:val="20"/>
                <w:szCs w:val="20"/>
              </w:rPr>
              <w:t>(</w:t>
            </w:r>
            <w:r w:rsidRPr="006B2B1D">
              <w:rPr>
                <w:rFonts w:ascii="Arial" w:hAnsi="Arial" w:cs="Arial"/>
                <w:sz w:val="20"/>
                <w:szCs w:val="20"/>
              </w:rPr>
              <w:t>Oxfam Tajikistan; AFIC Uganda; Concern Mozambique; TAME Mongolia</w:t>
            </w:r>
            <w:r w:rsidR="00766277">
              <w:rPr>
                <w:rFonts w:ascii="Arial" w:hAnsi="Arial" w:cs="Arial"/>
                <w:sz w:val="20"/>
                <w:szCs w:val="20"/>
              </w:rPr>
              <w:t>; SAHA Madagascar</w:t>
            </w:r>
            <w:r w:rsidR="00274B9B">
              <w:rPr>
                <w:rFonts w:ascii="Arial" w:hAnsi="Arial" w:cs="Arial"/>
                <w:sz w:val="20"/>
                <w:szCs w:val="20"/>
              </w:rPr>
              <w:t>)</w:t>
            </w:r>
          </w:p>
        </w:tc>
      </w:tr>
      <w:tr w:rsidR="006B2B1D" w:rsidRPr="0061121A" w14:paraId="1089A592" w14:textId="77777777" w:rsidTr="00274B9B">
        <w:tc>
          <w:tcPr>
            <w:tcW w:w="3823" w:type="dxa"/>
          </w:tcPr>
          <w:p w14:paraId="0D488FF5" w14:textId="04020251" w:rsidR="006B2B1D" w:rsidRDefault="006B2B1D" w:rsidP="006B2B1D">
            <w:pPr>
              <w:rPr>
                <w:rFonts w:ascii="Arial" w:hAnsi="Arial" w:cs="Arial"/>
                <w:sz w:val="20"/>
                <w:szCs w:val="20"/>
              </w:rPr>
            </w:pPr>
            <w:r>
              <w:rPr>
                <w:rFonts w:ascii="Arial" w:eastAsiaTheme="majorEastAsia" w:hAnsi="Arial" w:cs="Arial"/>
                <w:sz w:val="20"/>
                <w:szCs w:val="20"/>
              </w:rPr>
              <w:t xml:space="preserve">Output Indicator 1a) </w:t>
            </w:r>
            <w:r w:rsidRPr="003157E4">
              <w:rPr>
                <w:rFonts w:ascii="Arial" w:eastAsiaTheme="majorEastAsia" w:hAnsi="Arial" w:cs="Arial"/>
                <w:sz w:val="20"/>
                <w:szCs w:val="20"/>
              </w:rPr>
              <w:t xml:space="preserve">Percentage of GPSA grants with partner-led compacts </w:t>
            </w:r>
            <w:r w:rsidRPr="003157E4">
              <w:rPr>
                <w:rFonts w:ascii="Arial" w:eastAsiaTheme="majorEastAsia" w:hAnsi="Arial" w:cs="Arial"/>
                <w:sz w:val="20"/>
                <w:szCs w:val="20"/>
              </w:rPr>
              <w:lastRenderedPageBreak/>
              <w:t xml:space="preserve">with </w:t>
            </w:r>
            <w:r w:rsidRPr="003157E4">
              <w:rPr>
                <w:rFonts w:ascii="Arial" w:eastAsia="Times New Roman" w:hAnsi="Arial" w:cs="Arial"/>
                <w:sz w:val="20"/>
                <w:szCs w:val="20"/>
              </w:rPr>
              <w:t>involvement from at least 3 fit-for-purpose stakeholder groups</w:t>
            </w:r>
          </w:p>
        </w:tc>
        <w:tc>
          <w:tcPr>
            <w:tcW w:w="2410" w:type="dxa"/>
          </w:tcPr>
          <w:p w14:paraId="18949E7C" w14:textId="77777777" w:rsidR="006B2B1D" w:rsidRDefault="006B2B1D" w:rsidP="006B2B1D">
            <w:pPr>
              <w:rPr>
                <w:rFonts w:ascii="Calibri" w:hAnsi="Calibri" w:cs="Calibri"/>
                <w:color w:val="000000"/>
              </w:rPr>
            </w:pPr>
            <w:r>
              <w:rPr>
                <w:rFonts w:ascii="Calibri" w:hAnsi="Calibri" w:cs="Calibri"/>
                <w:color w:val="000000"/>
              </w:rPr>
              <w:lastRenderedPageBreak/>
              <w:t>100% (15/15 projects)</w:t>
            </w:r>
          </w:p>
          <w:p w14:paraId="33C74FB2" w14:textId="77777777" w:rsidR="006B2B1D" w:rsidRDefault="006B2B1D" w:rsidP="006B2B1D">
            <w:pPr>
              <w:rPr>
                <w:rFonts w:ascii="Arial" w:hAnsi="Arial" w:cs="Arial"/>
                <w:sz w:val="20"/>
                <w:szCs w:val="20"/>
              </w:rPr>
            </w:pPr>
          </w:p>
        </w:tc>
        <w:tc>
          <w:tcPr>
            <w:tcW w:w="3968" w:type="dxa"/>
          </w:tcPr>
          <w:p w14:paraId="00492128" w14:textId="1890B26C" w:rsidR="006B2B1D" w:rsidRPr="00DC31A4" w:rsidRDefault="006B2B1D" w:rsidP="006B2B1D">
            <w:pPr>
              <w:rPr>
                <w:rFonts w:ascii="Arial" w:hAnsi="Arial" w:cs="Arial"/>
                <w:sz w:val="20"/>
                <w:szCs w:val="20"/>
                <w:lang w:val="pt-BR"/>
              </w:rPr>
            </w:pPr>
            <w:r w:rsidRPr="00DC31A4">
              <w:rPr>
                <w:rFonts w:ascii="Arial" w:hAnsi="Arial" w:cs="Arial"/>
                <w:sz w:val="20"/>
                <w:szCs w:val="20"/>
                <w:lang w:val="pt-BR"/>
              </w:rPr>
              <w:t>N/A - yes/no indicator</w:t>
            </w:r>
          </w:p>
        </w:tc>
      </w:tr>
      <w:tr w:rsidR="006E74A2" w14:paraId="6D79CD63" w14:textId="77777777" w:rsidTr="00274B9B">
        <w:tc>
          <w:tcPr>
            <w:tcW w:w="3823" w:type="dxa"/>
          </w:tcPr>
          <w:p w14:paraId="6CD13089" w14:textId="7BEFA286" w:rsidR="006E74A2" w:rsidRPr="003157E4" w:rsidRDefault="006E74A2" w:rsidP="006E74A2">
            <w:pPr>
              <w:pStyle w:val="Normal1"/>
              <w:spacing w:before="120" w:after="120"/>
              <w:ind w:left="90" w:right="-90"/>
              <w:contextualSpacing w:val="0"/>
              <w:rPr>
                <w:rFonts w:ascii="Arial" w:eastAsia="Times New Roman" w:hAnsi="Arial" w:cs="Arial"/>
                <w:color w:val="auto"/>
                <w:sz w:val="20"/>
                <w:szCs w:val="20"/>
              </w:rPr>
            </w:pPr>
            <w:r>
              <w:rPr>
                <w:rFonts w:ascii="Arial" w:eastAsiaTheme="majorEastAsia" w:hAnsi="Arial" w:cs="Arial"/>
                <w:sz w:val="20"/>
                <w:szCs w:val="20"/>
              </w:rPr>
              <w:t>Output Indicator</w:t>
            </w:r>
            <w:r w:rsidRPr="003157E4">
              <w:rPr>
                <w:rFonts w:ascii="Arial" w:eastAsia="Times New Roman" w:hAnsi="Arial" w:cs="Arial"/>
                <w:sz w:val="20"/>
                <w:szCs w:val="20"/>
              </w:rPr>
              <w:t xml:space="preserve"> </w:t>
            </w:r>
            <w:r w:rsidRPr="003157E4">
              <w:rPr>
                <w:rFonts w:ascii="Arial" w:eastAsia="Times New Roman" w:hAnsi="Arial" w:cs="Arial"/>
                <w:color w:val="auto"/>
                <w:sz w:val="20"/>
                <w:szCs w:val="20"/>
              </w:rPr>
              <w:t xml:space="preserve">2a) </w:t>
            </w:r>
            <w:r w:rsidRPr="003157E4">
              <w:rPr>
                <w:rFonts w:ascii="Arial" w:eastAsiaTheme="majorEastAsia" w:hAnsi="Arial" w:cs="Arial"/>
                <w:color w:val="auto"/>
                <w:sz w:val="20"/>
                <w:szCs w:val="20"/>
              </w:rPr>
              <w:t xml:space="preserve">Percentage of </w:t>
            </w:r>
            <w:r w:rsidRPr="003157E4">
              <w:rPr>
                <w:rFonts w:ascii="Arial" w:eastAsia="Times New Roman" w:hAnsi="Arial" w:cs="Arial"/>
                <w:color w:val="auto"/>
                <w:sz w:val="20"/>
                <w:szCs w:val="20"/>
              </w:rPr>
              <w:t>GPSA of grants in which lessons learned during implementation informed course corrections.</w:t>
            </w:r>
          </w:p>
          <w:p w14:paraId="0BA181B3" w14:textId="303FFAAC" w:rsidR="006E74A2" w:rsidRPr="00EF3585" w:rsidRDefault="006E74A2" w:rsidP="006E74A2">
            <w:pPr>
              <w:rPr>
                <w:rFonts w:ascii="Arial" w:hAnsi="Arial" w:cs="Arial"/>
                <w:sz w:val="20"/>
                <w:szCs w:val="20"/>
                <w:lang w:val="en-US"/>
              </w:rPr>
            </w:pPr>
          </w:p>
        </w:tc>
        <w:tc>
          <w:tcPr>
            <w:tcW w:w="2410" w:type="dxa"/>
          </w:tcPr>
          <w:p w14:paraId="67125645" w14:textId="6355F96D" w:rsidR="006E74A2" w:rsidRDefault="006E74A2" w:rsidP="006E74A2">
            <w:pPr>
              <w:rPr>
                <w:rFonts w:ascii="Calibri" w:hAnsi="Calibri" w:cs="Calibri"/>
                <w:color w:val="000000"/>
              </w:rPr>
            </w:pPr>
            <w:r>
              <w:rPr>
                <w:rFonts w:ascii="Calibri" w:hAnsi="Calibri" w:cs="Calibri"/>
                <w:color w:val="000000"/>
              </w:rPr>
              <w:t>87% (13/15 projects)</w:t>
            </w:r>
          </w:p>
          <w:p w14:paraId="4DF95F96" w14:textId="77777777" w:rsidR="006E74A2" w:rsidRDefault="006E74A2" w:rsidP="006E74A2">
            <w:pPr>
              <w:rPr>
                <w:rFonts w:ascii="Arial" w:hAnsi="Arial" w:cs="Arial"/>
                <w:sz w:val="20"/>
                <w:szCs w:val="20"/>
              </w:rPr>
            </w:pPr>
          </w:p>
        </w:tc>
        <w:tc>
          <w:tcPr>
            <w:tcW w:w="3968" w:type="dxa"/>
          </w:tcPr>
          <w:p w14:paraId="23708419" w14:textId="77777777" w:rsidR="006B2B1D" w:rsidRPr="006B2B1D" w:rsidRDefault="006B2B1D" w:rsidP="006B2B1D">
            <w:pPr>
              <w:rPr>
                <w:rFonts w:ascii="Arial" w:hAnsi="Arial" w:cs="Arial"/>
                <w:sz w:val="20"/>
                <w:szCs w:val="20"/>
              </w:rPr>
            </w:pPr>
            <w:r w:rsidRPr="006B2B1D">
              <w:rPr>
                <w:rFonts w:ascii="Arial" w:hAnsi="Arial" w:cs="Arial"/>
                <w:sz w:val="20"/>
                <w:szCs w:val="20"/>
              </w:rPr>
              <w:t>Yes/No was the unit of analysis.</w:t>
            </w:r>
          </w:p>
          <w:p w14:paraId="2E888475" w14:textId="4F0433F6" w:rsidR="006B2B1D" w:rsidRPr="006B2B1D" w:rsidRDefault="006B2B1D" w:rsidP="006B2B1D">
            <w:pPr>
              <w:rPr>
                <w:rFonts w:ascii="Arial" w:hAnsi="Arial" w:cs="Arial"/>
                <w:sz w:val="20"/>
                <w:szCs w:val="20"/>
              </w:rPr>
            </w:pPr>
            <w:r w:rsidRPr="006B2B1D">
              <w:rPr>
                <w:rFonts w:ascii="Arial" w:hAnsi="Arial" w:cs="Arial"/>
                <w:sz w:val="20"/>
                <w:szCs w:val="20"/>
              </w:rPr>
              <w:t>However</w:t>
            </w:r>
            <w:r>
              <w:rPr>
                <w:rFonts w:ascii="Arial" w:hAnsi="Arial" w:cs="Arial"/>
                <w:sz w:val="20"/>
                <w:szCs w:val="20"/>
              </w:rPr>
              <w:t>,</w:t>
            </w:r>
            <w:r w:rsidRPr="006B2B1D">
              <w:rPr>
                <w:rFonts w:ascii="Arial" w:hAnsi="Arial" w:cs="Arial"/>
                <w:sz w:val="20"/>
                <w:szCs w:val="20"/>
              </w:rPr>
              <w:t xml:space="preserve"> the number of course corrections were </w:t>
            </w:r>
            <w:r w:rsidR="00A54D0D">
              <w:rPr>
                <w:rFonts w:ascii="Arial" w:hAnsi="Arial" w:cs="Arial"/>
                <w:sz w:val="20"/>
                <w:szCs w:val="20"/>
              </w:rPr>
              <w:t xml:space="preserve">identified and </w:t>
            </w:r>
            <w:r w:rsidR="002F74B4">
              <w:rPr>
                <w:rFonts w:ascii="Arial" w:hAnsi="Arial" w:cs="Arial"/>
                <w:sz w:val="20"/>
                <w:szCs w:val="20"/>
              </w:rPr>
              <w:t>documented</w:t>
            </w:r>
            <w:r w:rsidR="00A54D0D">
              <w:rPr>
                <w:rFonts w:ascii="Arial" w:hAnsi="Arial" w:cs="Arial"/>
                <w:sz w:val="20"/>
                <w:szCs w:val="20"/>
              </w:rPr>
              <w:t xml:space="preserve"> </w:t>
            </w:r>
            <w:r w:rsidRPr="006B2B1D">
              <w:rPr>
                <w:rFonts w:ascii="Arial" w:hAnsi="Arial" w:cs="Arial"/>
                <w:sz w:val="20"/>
                <w:szCs w:val="20"/>
              </w:rPr>
              <w:t>from the available evidence base</w:t>
            </w:r>
            <w:r w:rsidR="00A54D0D">
              <w:rPr>
                <w:rFonts w:ascii="Arial" w:hAnsi="Arial" w:cs="Arial"/>
                <w:sz w:val="20"/>
                <w:szCs w:val="20"/>
              </w:rPr>
              <w:t xml:space="preserve"> </w:t>
            </w:r>
            <w:r w:rsidRPr="006B2B1D">
              <w:rPr>
                <w:rFonts w:ascii="Arial" w:hAnsi="Arial" w:cs="Arial"/>
                <w:sz w:val="20"/>
                <w:szCs w:val="20"/>
              </w:rPr>
              <w:t xml:space="preserve">for each project as below. For the </w:t>
            </w:r>
            <w:r w:rsidR="00A54D0D">
              <w:rPr>
                <w:rFonts w:ascii="Arial" w:hAnsi="Arial" w:cs="Arial"/>
                <w:sz w:val="20"/>
                <w:szCs w:val="20"/>
              </w:rPr>
              <w:t xml:space="preserve">2 </w:t>
            </w:r>
            <w:r w:rsidRPr="006B2B1D">
              <w:rPr>
                <w:rFonts w:ascii="Arial" w:hAnsi="Arial" w:cs="Arial"/>
                <w:sz w:val="20"/>
                <w:szCs w:val="20"/>
              </w:rPr>
              <w:t xml:space="preserve">projects </w:t>
            </w:r>
            <w:r w:rsidR="00A54D0D">
              <w:rPr>
                <w:rFonts w:ascii="Arial" w:hAnsi="Arial" w:cs="Arial"/>
                <w:sz w:val="20"/>
                <w:szCs w:val="20"/>
              </w:rPr>
              <w:t>with only</w:t>
            </w:r>
            <w:r w:rsidRPr="006B2B1D">
              <w:rPr>
                <w:rFonts w:ascii="Arial" w:hAnsi="Arial" w:cs="Arial"/>
                <w:sz w:val="20"/>
                <w:szCs w:val="20"/>
              </w:rPr>
              <w:t xml:space="preserve"> 1 identified course correction, they were counted as not meeting the indicator criteria:</w:t>
            </w:r>
          </w:p>
          <w:p w14:paraId="464E3A05" w14:textId="77777777" w:rsidR="006B2B1D" w:rsidRPr="006B2B1D" w:rsidRDefault="006B2B1D" w:rsidP="006B2B1D">
            <w:pPr>
              <w:rPr>
                <w:rFonts w:ascii="Arial" w:hAnsi="Arial" w:cs="Arial"/>
                <w:sz w:val="20"/>
                <w:szCs w:val="20"/>
              </w:rPr>
            </w:pPr>
          </w:p>
          <w:p w14:paraId="4214B087" w14:textId="77777777" w:rsidR="006B2B1D" w:rsidRPr="006B2B1D" w:rsidRDefault="006B2B1D" w:rsidP="006B2B1D">
            <w:pPr>
              <w:rPr>
                <w:rFonts w:ascii="Arial" w:hAnsi="Arial" w:cs="Arial"/>
                <w:sz w:val="20"/>
                <w:szCs w:val="20"/>
              </w:rPr>
            </w:pPr>
            <w:r w:rsidRPr="006B2B1D">
              <w:rPr>
                <w:rFonts w:ascii="Arial" w:hAnsi="Arial" w:cs="Arial"/>
                <w:sz w:val="20"/>
                <w:szCs w:val="20"/>
              </w:rPr>
              <w:t>AFIC Uganda (9 course corrections)</w:t>
            </w:r>
          </w:p>
          <w:p w14:paraId="2EC4F54C" w14:textId="77777777" w:rsidR="006B2B1D" w:rsidRPr="006B2B1D" w:rsidRDefault="006B2B1D" w:rsidP="006B2B1D">
            <w:pPr>
              <w:rPr>
                <w:rFonts w:ascii="Arial" w:hAnsi="Arial" w:cs="Arial"/>
                <w:sz w:val="20"/>
                <w:szCs w:val="20"/>
              </w:rPr>
            </w:pPr>
            <w:r w:rsidRPr="006B2B1D">
              <w:rPr>
                <w:rFonts w:ascii="Arial" w:hAnsi="Arial" w:cs="Arial"/>
                <w:sz w:val="20"/>
                <w:szCs w:val="20"/>
              </w:rPr>
              <w:t>CARE Morocco (12)</w:t>
            </w:r>
          </w:p>
          <w:p w14:paraId="55033EAC" w14:textId="77777777" w:rsidR="006B2B1D" w:rsidRPr="006B2B1D" w:rsidRDefault="006B2B1D" w:rsidP="006B2B1D">
            <w:pPr>
              <w:rPr>
                <w:rFonts w:ascii="Arial" w:hAnsi="Arial" w:cs="Arial"/>
                <w:sz w:val="20"/>
                <w:szCs w:val="20"/>
              </w:rPr>
            </w:pPr>
            <w:r w:rsidRPr="006B2B1D">
              <w:rPr>
                <w:rFonts w:ascii="Arial" w:hAnsi="Arial" w:cs="Arial"/>
                <w:sz w:val="20"/>
                <w:szCs w:val="20"/>
              </w:rPr>
              <w:t>CCAG Philippines (8)</w:t>
            </w:r>
          </w:p>
          <w:p w14:paraId="7888330F" w14:textId="77777777" w:rsidR="006B2B1D" w:rsidRPr="006B2B1D" w:rsidRDefault="006B2B1D" w:rsidP="006B2B1D">
            <w:pPr>
              <w:rPr>
                <w:rFonts w:ascii="Arial" w:hAnsi="Arial" w:cs="Arial"/>
                <w:sz w:val="20"/>
                <w:szCs w:val="20"/>
              </w:rPr>
            </w:pPr>
            <w:r w:rsidRPr="006B2B1D">
              <w:rPr>
                <w:rFonts w:ascii="Arial" w:hAnsi="Arial" w:cs="Arial"/>
                <w:sz w:val="20"/>
                <w:szCs w:val="20"/>
              </w:rPr>
              <w:t>Concern Mozambique (7)</w:t>
            </w:r>
          </w:p>
          <w:p w14:paraId="1C1BB9D7" w14:textId="77777777" w:rsidR="006B2B1D" w:rsidRPr="006B2B1D" w:rsidRDefault="006B2B1D" w:rsidP="006B2B1D">
            <w:pPr>
              <w:rPr>
                <w:rFonts w:ascii="Arial" w:hAnsi="Arial" w:cs="Arial"/>
                <w:sz w:val="20"/>
                <w:szCs w:val="20"/>
              </w:rPr>
            </w:pPr>
            <w:r w:rsidRPr="006B2B1D">
              <w:rPr>
                <w:rFonts w:ascii="Arial" w:hAnsi="Arial" w:cs="Arial"/>
                <w:sz w:val="20"/>
                <w:szCs w:val="20"/>
              </w:rPr>
              <w:t>Cordaid DRC (5)</w:t>
            </w:r>
          </w:p>
          <w:p w14:paraId="6EB53C74" w14:textId="77777777" w:rsidR="006B2B1D" w:rsidRPr="006B2B1D" w:rsidRDefault="006B2B1D" w:rsidP="006B2B1D">
            <w:pPr>
              <w:rPr>
                <w:rFonts w:ascii="Arial" w:hAnsi="Arial" w:cs="Arial"/>
                <w:sz w:val="20"/>
                <w:szCs w:val="20"/>
              </w:rPr>
            </w:pPr>
            <w:r w:rsidRPr="006B2B1D">
              <w:rPr>
                <w:rFonts w:ascii="Arial" w:hAnsi="Arial" w:cs="Arial"/>
                <w:sz w:val="20"/>
                <w:szCs w:val="20"/>
              </w:rPr>
              <w:t>Expert Grup Moldova (7)</w:t>
            </w:r>
          </w:p>
          <w:p w14:paraId="39DD15B1" w14:textId="77777777" w:rsidR="006B2B1D" w:rsidRPr="006B2B1D" w:rsidRDefault="006B2B1D" w:rsidP="006B2B1D">
            <w:pPr>
              <w:rPr>
                <w:rFonts w:ascii="Arial" w:hAnsi="Arial" w:cs="Arial"/>
                <w:sz w:val="20"/>
                <w:szCs w:val="20"/>
              </w:rPr>
            </w:pPr>
            <w:r w:rsidRPr="006B2B1D">
              <w:rPr>
                <w:rFonts w:ascii="Arial" w:hAnsi="Arial" w:cs="Arial"/>
                <w:sz w:val="20"/>
                <w:szCs w:val="20"/>
              </w:rPr>
              <w:t xml:space="preserve">Oxfam Dominican Republic (1) </w:t>
            </w:r>
          </w:p>
          <w:p w14:paraId="71960256" w14:textId="77777777" w:rsidR="006B2B1D" w:rsidRPr="006B2B1D" w:rsidRDefault="006B2B1D" w:rsidP="006B2B1D">
            <w:pPr>
              <w:rPr>
                <w:rFonts w:ascii="Arial" w:hAnsi="Arial" w:cs="Arial"/>
                <w:sz w:val="20"/>
                <w:szCs w:val="20"/>
              </w:rPr>
            </w:pPr>
            <w:r w:rsidRPr="006B2B1D">
              <w:rPr>
                <w:rFonts w:ascii="Arial" w:hAnsi="Arial" w:cs="Arial"/>
                <w:sz w:val="20"/>
                <w:szCs w:val="20"/>
              </w:rPr>
              <w:t>Oxfam Tajikistan (4)</w:t>
            </w:r>
          </w:p>
          <w:p w14:paraId="22E491AF" w14:textId="77777777" w:rsidR="006B2B1D" w:rsidRPr="006B2B1D" w:rsidRDefault="006B2B1D" w:rsidP="006B2B1D">
            <w:pPr>
              <w:rPr>
                <w:rFonts w:ascii="Arial" w:hAnsi="Arial" w:cs="Arial"/>
                <w:sz w:val="20"/>
                <w:szCs w:val="20"/>
              </w:rPr>
            </w:pPr>
            <w:r w:rsidRPr="006B2B1D">
              <w:rPr>
                <w:rFonts w:ascii="Arial" w:hAnsi="Arial" w:cs="Arial"/>
                <w:sz w:val="20"/>
                <w:szCs w:val="20"/>
              </w:rPr>
              <w:t>CIRD Paraguay (1)</w:t>
            </w:r>
          </w:p>
          <w:p w14:paraId="35B5A48A" w14:textId="77777777" w:rsidR="006B2B1D" w:rsidRPr="006B2B1D" w:rsidRDefault="006B2B1D" w:rsidP="006B2B1D">
            <w:pPr>
              <w:rPr>
                <w:rFonts w:ascii="Arial" w:hAnsi="Arial" w:cs="Arial"/>
                <w:sz w:val="20"/>
                <w:szCs w:val="20"/>
              </w:rPr>
            </w:pPr>
            <w:r w:rsidRPr="006B2B1D">
              <w:rPr>
                <w:rFonts w:ascii="Arial" w:hAnsi="Arial" w:cs="Arial"/>
                <w:sz w:val="20"/>
                <w:szCs w:val="20"/>
              </w:rPr>
              <w:t>SAHA Madagascar (6)</w:t>
            </w:r>
          </w:p>
          <w:p w14:paraId="1476244B" w14:textId="77777777" w:rsidR="006B2B1D" w:rsidRPr="006B2B1D" w:rsidRDefault="006B2B1D" w:rsidP="006B2B1D">
            <w:pPr>
              <w:rPr>
                <w:rFonts w:ascii="Arial" w:hAnsi="Arial" w:cs="Arial"/>
                <w:sz w:val="20"/>
                <w:szCs w:val="20"/>
              </w:rPr>
            </w:pPr>
            <w:r w:rsidRPr="006B2B1D">
              <w:rPr>
                <w:rFonts w:ascii="Arial" w:hAnsi="Arial" w:cs="Arial"/>
                <w:sz w:val="20"/>
                <w:szCs w:val="20"/>
              </w:rPr>
              <w:t>Save the Children Georgia (7)</w:t>
            </w:r>
          </w:p>
          <w:p w14:paraId="135B02C7" w14:textId="77777777" w:rsidR="006B2B1D" w:rsidRPr="006B2B1D" w:rsidRDefault="006B2B1D" w:rsidP="006B2B1D">
            <w:pPr>
              <w:rPr>
                <w:rFonts w:ascii="Arial" w:hAnsi="Arial" w:cs="Arial"/>
                <w:sz w:val="20"/>
                <w:szCs w:val="20"/>
              </w:rPr>
            </w:pPr>
            <w:r w:rsidRPr="006B2B1D">
              <w:rPr>
                <w:rFonts w:ascii="Arial" w:hAnsi="Arial" w:cs="Arial"/>
                <w:sz w:val="20"/>
                <w:szCs w:val="20"/>
              </w:rPr>
              <w:t>SEBA Bangladesh (5)</w:t>
            </w:r>
          </w:p>
          <w:p w14:paraId="2586423E" w14:textId="77777777" w:rsidR="006B2B1D" w:rsidRPr="006B2B1D" w:rsidRDefault="006B2B1D" w:rsidP="006B2B1D">
            <w:pPr>
              <w:rPr>
                <w:rFonts w:ascii="Arial" w:hAnsi="Arial" w:cs="Arial"/>
                <w:sz w:val="20"/>
                <w:szCs w:val="20"/>
              </w:rPr>
            </w:pPr>
            <w:r w:rsidRPr="006B2B1D">
              <w:rPr>
                <w:rFonts w:ascii="Arial" w:hAnsi="Arial" w:cs="Arial"/>
                <w:sz w:val="20"/>
                <w:szCs w:val="20"/>
              </w:rPr>
              <w:t>SEND Ghana (6)</w:t>
            </w:r>
          </w:p>
          <w:p w14:paraId="72D4EC4A" w14:textId="2AA815F9" w:rsidR="006E74A2" w:rsidRDefault="006B2B1D" w:rsidP="006B2B1D">
            <w:pPr>
              <w:rPr>
                <w:rFonts w:ascii="Arial" w:hAnsi="Arial" w:cs="Arial"/>
                <w:sz w:val="20"/>
                <w:szCs w:val="20"/>
              </w:rPr>
            </w:pPr>
            <w:r w:rsidRPr="006B2B1D">
              <w:rPr>
                <w:rFonts w:ascii="Arial" w:hAnsi="Arial" w:cs="Arial"/>
                <w:sz w:val="20"/>
                <w:szCs w:val="20"/>
              </w:rPr>
              <w:t>TAME Mongolia (9)</w:t>
            </w:r>
          </w:p>
        </w:tc>
      </w:tr>
      <w:tr w:rsidR="006E74A2" w14:paraId="7C4D2793" w14:textId="77777777" w:rsidTr="00274B9B">
        <w:tc>
          <w:tcPr>
            <w:tcW w:w="3823" w:type="dxa"/>
          </w:tcPr>
          <w:p w14:paraId="74C94E91" w14:textId="35C2336D" w:rsidR="006E74A2" w:rsidRDefault="006E74A2" w:rsidP="006E74A2">
            <w:pPr>
              <w:rPr>
                <w:rFonts w:ascii="Arial" w:hAnsi="Arial" w:cs="Arial"/>
                <w:sz w:val="20"/>
                <w:szCs w:val="20"/>
              </w:rPr>
            </w:pPr>
            <w:r>
              <w:rPr>
                <w:rFonts w:ascii="Arial" w:eastAsiaTheme="majorEastAsia" w:hAnsi="Arial" w:cs="Arial"/>
                <w:sz w:val="20"/>
                <w:szCs w:val="20"/>
              </w:rPr>
              <w:t xml:space="preserve">Output Indicator </w:t>
            </w:r>
            <w:r>
              <w:rPr>
                <w:rFonts w:ascii="Arial" w:eastAsia="Times New Roman" w:hAnsi="Arial" w:cs="Arial"/>
                <w:sz w:val="20"/>
                <w:szCs w:val="20"/>
              </w:rPr>
              <w:t xml:space="preserve">3) </w:t>
            </w:r>
            <w:r w:rsidRPr="003157E4">
              <w:rPr>
                <w:rFonts w:ascii="Arial" w:eastAsia="Times New Roman" w:hAnsi="Arial" w:cs="Arial"/>
                <w:sz w:val="20"/>
                <w:szCs w:val="20"/>
              </w:rPr>
              <w:t>Number of grants for which World Bank sector teams supported engagement between civil society and government</w:t>
            </w:r>
          </w:p>
        </w:tc>
        <w:tc>
          <w:tcPr>
            <w:tcW w:w="2410" w:type="dxa"/>
          </w:tcPr>
          <w:p w14:paraId="2098C0FE" w14:textId="5CB361D9" w:rsidR="006E74A2" w:rsidRDefault="006E74A2" w:rsidP="006E74A2">
            <w:pPr>
              <w:rPr>
                <w:rFonts w:ascii="Calibri" w:hAnsi="Calibri" w:cs="Calibri"/>
                <w:color w:val="000000"/>
              </w:rPr>
            </w:pPr>
            <w:r>
              <w:rPr>
                <w:rFonts w:ascii="Calibri" w:hAnsi="Calibri" w:cs="Calibri"/>
                <w:color w:val="000000"/>
              </w:rPr>
              <w:t>15/15 projects</w:t>
            </w:r>
            <w:r w:rsidR="001A4AA9">
              <w:rPr>
                <w:rFonts w:ascii="Calibri" w:hAnsi="Calibri" w:cs="Calibri"/>
                <w:color w:val="000000"/>
              </w:rPr>
              <w:t xml:space="preserve"> (or 100%)</w:t>
            </w:r>
            <w:r w:rsidR="008D2291">
              <w:rPr>
                <w:rFonts w:ascii="Calibri" w:hAnsi="Calibri" w:cs="Calibri"/>
                <w:color w:val="000000"/>
              </w:rPr>
              <w:t>.</w:t>
            </w:r>
          </w:p>
          <w:p w14:paraId="69D7F766" w14:textId="77777777" w:rsidR="006E74A2" w:rsidRDefault="006E74A2" w:rsidP="006E74A2">
            <w:pPr>
              <w:rPr>
                <w:rFonts w:ascii="Arial" w:hAnsi="Arial" w:cs="Arial"/>
                <w:sz w:val="20"/>
                <w:szCs w:val="20"/>
              </w:rPr>
            </w:pPr>
          </w:p>
        </w:tc>
        <w:tc>
          <w:tcPr>
            <w:tcW w:w="3968" w:type="dxa"/>
          </w:tcPr>
          <w:p w14:paraId="4D76FC93" w14:textId="77777777" w:rsidR="006B2B1D" w:rsidRPr="006B2B1D" w:rsidRDefault="006B2B1D" w:rsidP="006B2B1D">
            <w:pPr>
              <w:rPr>
                <w:rFonts w:ascii="Arial" w:hAnsi="Arial" w:cs="Arial"/>
                <w:sz w:val="20"/>
                <w:szCs w:val="20"/>
              </w:rPr>
            </w:pPr>
            <w:r w:rsidRPr="006B2B1D">
              <w:rPr>
                <w:rFonts w:ascii="Arial" w:hAnsi="Arial" w:cs="Arial"/>
                <w:sz w:val="20"/>
                <w:szCs w:val="20"/>
              </w:rPr>
              <w:t xml:space="preserve">Yes/No criteria.  </w:t>
            </w:r>
          </w:p>
          <w:p w14:paraId="68C46F0A" w14:textId="4EB13C1A" w:rsidR="006B2B1D" w:rsidRPr="006B2B1D" w:rsidRDefault="006B2B1D" w:rsidP="006B2B1D">
            <w:pPr>
              <w:rPr>
                <w:rFonts w:ascii="Arial" w:hAnsi="Arial" w:cs="Arial"/>
                <w:sz w:val="20"/>
                <w:szCs w:val="20"/>
              </w:rPr>
            </w:pPr>
            <w:r w:rsidRPr="006B2B1D">
              <w:rPr>
                <w:rFonts w:ascii="Arial" w:hAnsi="Arial" w:cs="Arial"/>
                <w:sz w:val="20"/>
                <w:szCs w:val="20"/>
              </w:rPr>
              <w:t xml:space="preserve">It should be noted that 2 of the projects (Wahani Visi Indonesia &amp; Cordaid DRC) received a yes for the indicator </w:t>
            </w:r>
            <w:r w:rsidR="00772B25" w:rsidRPr="006B2B1D">
              <w:rPr>
                <w:rFonts w:ascii="Arial" w:hAnsi="Arial" w:cs="Arial"/>
                <w:sz w:val="20"/>
                <w:szCs w:val="20"/>
              </w:rPr>
              <w:t>criteria but</w:t>
            </w:r>
            <w:r w:rsidRPr="006B2B1D">
              <w:rPr>
                <w:rFonts w:ascii="Arial" w:hAnsi="Arial" w:cs="Arial"/>
                <w:sz w:val="20"/>
                <w:szCs w:val="20"/>
              </w:rPr>
              <w:t xml:space="preserve"> had poor evidence from the W</w:t>
            </w:r>
            <w:r w:rsidR="00A54D0D">
              <w:rPr>
                <w:rFonts w:ascii="Arial" w:hAnsi="Arial" w:cs="Arial"/>
                <w:sz w:val="20"/>
                <w:szCs w:val="20"/>
              </w:rPr>
              <w:t xml:space="preserve">orld </w:t>
            </w:r>
            <w:r w:rsidRPr="006B2B1D">
              <w:rPr>
                <w:rFonts w:ascii="Arial" w:hAnsi="Arial" w:cs="Arial"/>
                <w:sz w:val="20"/>
                <w:szCs w:val="20"/>
              </w:rPr>
              <w:t>B</w:t>
            </w:r>
            <w:r w:rsidR="00A54D0D">
              <w:rPr>
                <w:rFonts w:ascii="Arial" w:hAnsi="Arial" w:cs="Arial"/>
                <w:sz w:val="20"/>
                <w:szCs w:val="20"/>
              </w:rPr>
              <w:t>ank</w:t>
            </w:r>
            <w:r w:rsidRPr="006B2B1D">
              <w:rPr>
                <w:rFonts w:ascii="Arial" w:hAnsi="Arial" w:cs="Arial"/>
                <w:sz w:val="20"/>
                <w:szCs w:val="20"/>
              </w:rPr>
              <w:t xml:space="preserve"> side</w:t>
            </w:r>
            <w:r w:rsidR="00A54D0D">
              <w:rPr>
                <w:rFonts w:ascii="Arial" w:hAnsi="Arial" w:cs="Arial"/>
                <w:sz w:val="20"/>
                <w:szCs w:val="20"/>
              </w:rPr>
              <w:t xml:space="preserve"> (</w:t>
            </w:r>
            <w:r w:rsidR="00772B25">
              <w:rPr>
                <w:rFonts w:ascii="Arial" w:hAnsi="Arial" w:cs="Arial"/>
                <w:sz w:val="20"/>
                <w:szCs w:val="20"/>
              </w:rPr>
              <w:t>i.e.,</w:t>
            </w:r>
            <w:r w:rsidR="00A54D0D">
              <w:rPr>
                <w:rFonts w:ascii="Arial" w:hAnsi="Arial" w:cs="Arial"/>
                <w:sz w:val="20"/>
                <w:szCs w:val="20"/>
              </w:rPr>
              <w:t xml:space="preserve"> </w:t>
            </w:r>
            <w:proofErr w:type="gramStart"/>
            <w:r w:rsidR="00E02446">
              <w:rPr>
                <w:rFonts w:ascii="Arial" w:hAnsi="Arial" w:cs="Arial"/>
                <w:sz w:val="20"/>
                <w:szCs w:val="20"/>
              </w:rPr>
              <w:t>incomplete</w:t>
            </w:r>
            <w:proofErr w:type="gramEnd"/>
            <w:r w:rsidR="00E02446">
              <w:rPr>
                <w:rFonts w:ascii="Arial" w:hAnsi="Arial" w:cs="Arial"/>
                <w:sz w:val="20"/>
                <w:szCs w:val="20"/>
              </w:rPr>
              <w:t xml:space="preserve"> or unavailable </w:t>
            </w:r>
            <w:r w:rsidR="00A54D0D">
              <w:rPr>
                <w:rFonts w:ascii="Arial" w:hAnsi="Arial" w:cs="Arial"/>
                <w:sz w:val="20"/>
                <w:szCs w:val="20"/>
              </w:rPr>
              <w:t>ICR</w:t>
            </w:r>
            <w:r w:rsidR="00E02446">
              <w:rPr>
                <w:rFonts w:ascii="Arial" w:hAnsi="Arial" w:cs="Arial"/>
                <w:sz w:val="20"/>
                <w:szCs w:val="20"/>
              </w:rPr>
              <w:t>s</w:t>
            </w:r>
            <w:r w:rsidR="00A54D0D">
              <w:rPr>
                <w:rFonts w:ascii="Arial" w:hAnsi="Arial" w:cs="Arial"/>
                <w:sz w:val="20"/>
                <w:szCs w:val="20"/>
              </w:rPr>
              <w:t>)</w:t>
            </w:r>
            <w:r w:rsidRPr="006B2B1D">
              <w:rPr>
                <w:rFonts w:ascii="Arial" w:hAnsi="Arial" w:cs="Arial"/>
                <w:sz w:val="20"/>
                <w:szCs w:val="20"/>
              </w:rPr>
              <w:t>, with all sources from partner.</w:t>
            </w:r>
          </w:p>
          <w:p w14:paraId="52E4B217" w14:textId="77777777" w:rsidR="006B2B1D" w:rsidRPr="006B2B1D" w:rsidRDefault="006B2B1D" w:rsidP="006B2B1D">
            <w:pPr>
              <w:rPr>
                <w:rFonts w:ascii="Arial" w:hAnsi="Arial" w:cs="Arial"/>
                <w:sz w:val="20"/>
                <w:szCs w:val="20"/>
              </w:rPr>
            </w:pPr>
          </w:p>
          <w:p w14:paraId="2A9105EE" w14:textId="76224C23" w:rsidR="006B2B1D" w:rsidRPr="006B2B1D" w:rsidRDefault="006B2B1D" w:rsidP="006B2B1D">
            <w:pPr>
              <w:rPr>
                <w:rFonts w:ascii="Arial" w:hAnsi="Arial" w:cs="Arial"/>
                <w:sz w:val="20"/>
                <w:szCs w:val="20"/>
              </w:rPr>
            </w:pPr>
            <w:r w:rsidRPr="006B2B1D">
              <w:rPr>
                <w:rFonts w:ascii="Arial" w:hAnsi="Arial" w:cs="Arial"/>
                <w:sz w:val="20"/>
                <w:szCs w:val="20"/>
              </w:rPr>
              <w:t>A</w:t>
            </w:r>
            <w:r w:rsidR="00E02446">
              <w:rPr>
                <w:rFonts w:ascii="Arial" w:hAnsi="Arial" w:cs="Arial"/>
                <w:sz w:val="20"/>
                <w:szCs w:val="20"/>
              </w:rPr>
              <w:t>dditionally,</w:t>
            </w:r>
            <w:r w:rsidRPr="006B2B1D">
              <w:rPr>
                <w:rFonts w:ascii="Arial" w:hAnsi="Arial" w:cs="Arial"/>
                <w:sz w:val="20"/>
                <w:szCs w:val="20"/>
              </w:rPr>
              <w:t xml:space="preserve"> if a score of </w:t>
            </w:r>
            <w:r w:rsidR="00E02446">
              <w:rPr>
                <w:rFonts w:ascii="Arial" w:hAnsi="Arial" w:cs="Arial"/>
                <w:sz w:val="20"/>
                <w:szCs w:val="20"/>
              </w:rPr>
              <w:t>‘</w:t>
            </w:r>
            <w:r w:rsidRPr="006B2B1D">
              <w:rPr>
                <w:rFonts w:ascii="Arial" w:hAnsi="Arial" w:cs="Arial"/>
                <w:sz w:val="20"/>
                <w:szCs w:val="20"/>
              </w:rPr>
              <w:t>partial</w:t>
            </w:r>
            <w:r w:rsidR="00E02446">
              <w:rPr>
                <w:rFonts w:ascii="Arial" w:hAnsi="Arial" w:cs="Arial"/>
                <w:sz w:val="20"/>
                <w:szCs w:val="20"/>
              </w:rPr>
              <w:t xml:space="preserve">’ </w:t>
            </w:r>
            <w:r w:rsidRPr="006B2B1D">
              <w:rPr>
                <w:rFonts w:ascii="Arial" w:hAnsi="Arial" w:cs="Arial"/>
                <w:sz w:val="20"/>
                <w:szCs w:val="20"/>
              </w:rPr>
              <w:t>were part of this indicator</w:t>
            </w:r>
            <w:r w:rsidR="00E02446">
              <w:rPr>
                <w:rFonts w:ascii="Arial" w:hAnsi="Arial" w:cs="Arial"/>
                <w:sz w:val="20"/>
                <w:szCs w:val="20"/>
              </w:rPr>
              <w:t xml:space="preserve"> coding options</w:t>
            </w:r>
            <w:r w:rsidRPr="006B2B1D">
              <w:rPr>
                <w:rFonts w:ascii="Arial" w:hAnsi="Arial" w:cs="Arial"/>
                <w:sz w:val="20"/>
                <w:szCs w:val="20"/>
              </w:rPr>
              <w:t>, then 6 projects should have received partial based on the evidence which indicated the support was provided but needed improvement and was not a full 'yes':</w:t>
            </w:r>
          </w:p>
          <w:p w14:paraId="189D52AE" w14:textId="77777777" w:rsidR="006B2B1D" w:rsidRPr="000513A5" w:rsidRDefault="006B2B1D" w:rsidP="000513A5">
            <w:pPr>
              <w:pStyle w:val="ListParagraph"/>
              <w:numPr>
                <w:ilvl w:val="0"/>
                <w:numId w:val="16"/>
              </w:numPr>
              <w:rPr>
                <w:rFonts w:ascii="Arial" w:hAnsi="Arial" w:cs="Arial"/>
                <w:sz w:val="20"/>
                <w:szCs w:val="20"/>
              </w:rPr>
            </w:pPr>
            <w:r w:rsidRPr="000513A5">
              <w:rPr>
                <w:rFonts w:ascii="Arial" w:hAnsi="Arial" w:cs="Arial"/>
                <w:sz w:val="20"/>
                <w:szCs w:val="20"/>
              </w:rPr>
              <w:t>AFIC Uganda</w:t>
            </w:r>
          </w:p>
          <w:p w14:paraId="6679A12B" w14:textId="77777777" w:rsidR="006B2B1D" w:rsidRPr="000513A5" w:rsidRDefault="006B2B1D" w:rsidP="000513A5">
            <w:pPr>
              <w:pStyle w:val="ListParagraph"/>
              <w:numPr>
                <w:ilvl w:val="0"/>
                <w:numId w:val="15"/>
              </w:numPr>
              <w:rPr>
                <w:rFonts w:ascii="Arial" w:hAnsi="Arial" w:cs="Arial"/>
                <w:sz w:val="20"/>
                <w:szCs w:val="20"/>
              </w:rPr>
            </w:pPr>
            <w:r w:rsidRPr="000513A5">
              <w:rPr>
                <w:rFonts w:ascii="Arial" w:hAnsi="Arial" w:cs="Arial"/>
                <w:sz w:val="20"/>
                <w:szCs w:val="20"/>
              </w:rPr>
              <w:t>Concern Mozambique</w:t>
            </w:r>
          </w:p>
          <w:p w14:paraId="6328E528" w14:textId="77777777" w:rsidR="006B2B1D" w:rsidRPr="000513A5" w:rsidRDefault="006B2B1D" w:rsidP="000513A5">
            <w:pPr>
              <w:pStyle w:val="ListParagraph"/>
              <w:numPr>
                <w:ilvl w:val="0"/>
                <w:numId w:val="15"/>
              </w:numPr>
              <w:rPr>
                <w:rFonts w:ascii="Arial" w:hAnsi="Arial" w:cs="Arial"/>
                <w:sz w:val="20"/>
                <w:szCs w:val="20"/>
              </w:rPr>
            </w:pPr>
            <w:r w:rsidRPr="000513A5">
              <w:rPr>
                <w:rFonts w:ascii="Arial" w:hAnsi="Arial" w:cs="Arial"/>
                <w:sz w:val="20"/>
                <w:szCs w:val="20"/>
              </w:rPr>
              <w:t xml:space="preserve">Oxfam Dominican Republic </w:t>
            </w:r>
          </w:p>
          <w:p w14:paraId="32EC1702" w14:textId="77777777" w:rsidR="006B2B1D" w:rsidRPr="000513A5" w:rsidRDefault="006B2B1D" w:rsidP="000513A5">
            <w:pPr>
              <w:pStyle w:val="ListParagraph"/>
              <w:numPr>
                <w:ilvl w:val="0"/>
                <w:numId w:val="15"/>
              </w:numPr>
              <w:rPr>
                <w:rFonts w:ascii="Arial" w:hAnsi="Arial" w:cs="Arial"/>
                <w:sz w:val="20"/>
                <w:szCs w:val="20"/>
              </w:rPr>
            </w:pPr>
            <w:r w:rsidRPr="000513A5">
              <w:rPr>
                <w:rFonts w:ascii="Arial" w:hAnsi="Arial" w:cs="Arial"/>
                <w:sz w:val="20"/>
                <w:szCs w:val="20"/>
              </w:rPr>
              <w:t>Save Georgia</w:t>
            </w:r>
          </w:p>
          <w:p w14:paraId="6E336DED" w14:textId="77777777" w:rsidR="006E74A2" w:rsidRPr="000513A5" w:rsidRDefault="006B2B1D" w:rsidP="000513A5">
            <w:pPr>
              <w:pStyle w:val="ListParagraph"/>
              <w:numPr>
                <w:ilvl w:val="0"/>
                <w:numId w:val="15"/>
              </w:numPr>
              <w:rPr>
                <w:rFonts w:ascii="Arial" w:hAnsi="Arial" w:cs="Arial"/>
                <w:sz w:val="20"/>
                <w:szCs w:val="20"/>
              </w:rPr>
            </w:pPr>
            <w:r w:rsidRPr="000513A5">
              <w:rPr>
                <w:rFonts w:ascii="Arial" w:hAnsi="Arial" w:cs="Arial"/>
                <w:sz w:val="20"/>
                <w:szCs w:val="20"/>
              </w:rPr>
              <w:t>SEBA Bangladesh</w:t>
            </w:r>
          </w:p>
          <w:p w14:paraId="64EC21B6" w14:textId="77777777" w:rsidR="00E02446" w:rsidRDefault="00E02446" w:rsidP="000513A5">
            <w:pPr>
              <w:pStyle w:val="ListParagraph"/>
              <w:numPr>
                <w:ilvl w:val="0"/>
                <w:numId w:val="15"/>
              </w:numPr>
              <w:rPr>
                <w:rFonts w:ascii="Arial" w:hAnsi="Arial" w:cs="Arial"/>
                <w:sz w:val="20"/>
                <w:szCs w:val="20"/>
              </w:rPr>
            </w:pPr>
            <w:r w:rsidRPr="000513A5">
              <w:rPr>
                <w:rFonts w:ascii="Arial" w:hAnsi="Arial" w:cs="Arial"/>
                <w:sz w:val="20"/>
                <w:szCs w:val="20"/>
              </w:rPr>
              <w:t>SEND Ghana</w:t>
            </w:r>
          </w:p>
          <w:p w14:paraId="33641905" w14:textId="77777777" w:rsidR="00FC45BF" w:rsidRDefault="00FC45BF" w:rsidP="00FC45BF">
            <w:pPr>
              <w:rPr>
                <w:rFonts w:ascii="Arial" w:hAnsi="Arial" w:cs="Arial"/>
                <w:sz w:val="20"/>
                <w:szCs w:val="20"/>
              </w:rPr>
            </w:pPr>
          </w:p>
          <w:p w14:paraId="1D3B0575" w14:textId="4BB8C3C6" w:rsidR="00FC45BF" w:rsidRPr="005207A9" w:rsidRDefault="00FC45BF" w:rsidP="005207A9">
            <w:pPr>
              <w:rPr>
                <w:rFonts w:ascii="Arial" w:hAnsi="Arial" w:cs="Arial"/>
                <w:i/>
                <w:iCs/>
                <w:sz w:val="20"/>
                <w:szCs w:val="20"/>
              </w:rPr>
            </w:pPr>
            <w:r w:rsidRPr="005207A9">
              <w:rPr>
                <w:rFonts w:ascii="Arial" w:hAnsi="Arial" w:cs="Arial"/>
                <w:i/>
                <w:iCs/>
                <w:sz w:val="18"/>
                <w:szCs w:val="18"/>
              </w:rPr>
              <w:t>Please note that there are a range of circumstances in each of these projects that impact</w:t>
            </w:r>
            <w:r>
              <w:rPr>
                <w:rFonts w:ascii="Arial" w:hAnsi="Arial" w:cs="Arial"/>
                <w:i/>
                <w:iCs/>
                <w:sz w:val="18"/>
                <w:szCs w:val="18"/>
              </w:rPr>
              <w:t>ed</w:t>
            </w:r>
            <w:r w:rsidRPr="005207A9">
              <w:rPr>
                <w:rFonts w:ascii="Arial" w:hAnsi="Arial" w:cs="Arial"/>
                <w:i/>
                <w:iCs/>
                <w:sz w:val="18"/>
                <w:szCs w:val="18"/>
              </w:rPr>
              <w:t xml:space="preserve"> the level and type of support the World Bank could provide </w:t>
            </w:r>
            <w:proofErr w:type="gramStart"/>
            <w:r w:rsidRPr="005207A9">
              <w:rPr>
                <w:rFonts w:ascii="Arial" w:hAnsi="Arial" w:cs="Arial"/>
                <w:i/>
                <w:iCs/>
                <w:sz w:val="18"/>
                <w:szCs w:val="18"/>
              </w:rPr>
              <w:t>and also</w:t>
            </w:r>
            <w:proofErr w:type="gramEnd"/>
            <w:r w:rsidRPr="005207A9">
              <w:rPr>
                <w:rFonts w:ascii="Arial" w:hAnsi="Arial" w:cs="Arial"/>
                <w:i/>
                <w:iCs/>
                <w:sz w:val="18"/>
                <w:szCs w:val="18"/>
              </w:rPr>
              <w:t xml:space="preserve"> depended on the CSO partners</w:t>
            </w:r>
            <w:r>
              <w:rPr>
                <w:rFonts w:ascii="Arial" w:hAnsi="Arial" w:cs="Arial"/>
                <w:i/>
                <w:iCs/>
                <w:sz w:val="18"/>
                <w:szCs w:val="18"/>
              </w:rPr>
              <w:t xml:space="preserve"> and their preferences and engagement with the World Bank.</w:t>
            </w:r>
          </w:p>
        </w:tc>
      </w:tr>
    </w:tbl>
    <w:p w14:paraId="3E5F02A1" w14:textId="6F03E980" w:rsidR="008E384F" w:rsidRDefault="008E384F" w:rsidP="003157E4">
      <w:pPr>
        <w:spacing w:after="0"/>
        <w:rPr>
          <w:rFonts w:ascii="Arial" w:hAnsi="Arial" w:cs="Arial"/>
          <w:sz w:val="20"/>
          <w:szCs w:val="20"/>
        </w:rPr>
      </w:pPr>
    </w:p>
    <w:p w14:paraId="0421C552" w14:textId="0CFF576A" w:rsidR="000513A5" w:rsidRDefault="000513A5" w:rsidP="003157E4">
      <w:pPr>
        <w:spacing w:after="0"/>
        <w:rPr>
          <w:rFonts w:ascii="Arial" w:hAnsi="Arial" w:cs="Arial"/>
          <w:sz w:val="20"/>
          <w:szCs w:val="20"/>
        </w:rPr>
      </w:pPr>
      <w:r>
        <w:rPr>
          <w:rFonts w:ascii="Arial" w:hAnsi="Arial" w:cs="Arial"/>
          <w:sz w:val="20"/>
          <w:szCs w:val="20"/>
        </w:rPr>
        <w:t xml:space="preserve">As per the table and </w:t>
      </w:r>
      <w:r w:rsidR="002F74B4">
        <w:rPr>
          <w:rFonts w:ascii="Arial" w:hAnsi="Arial" w:cs="Arial"/>
          <w:sz w:val="20"/>
          <w:szCs w:val="20"/>
        </w:rPr>
        <w:t>aggregated</w:t>
      </w:r>
      <w:r>
        <w:rPr>
          <w:rFonts w:ascii="Arial" w:hAnsi="Arial" w:cs="Arial"/>
          <w:sz w:val="20"/>
          <w:szCs w:val="20"/>
        </w:rPr>
        <w:t xml:space="preserve"> values above, one can draw the following key observations:</w:t>
      </w:r>
    </w:p>
    <w:p w14:paraId="2D7F2F14" w14:textId="23ECE52C" w:rsidR="000513A5" w:rsidRDefault="000513A5" w:rsidP="000513A5">
      <w:pPr>
        <w:pStyle w:val="ListParagraph"/>
        <w:numPr>
          <w:ilvl w:val="0"/>
          <w:numId w:val="17"/>
        </w:numPr>
        <w:spacing w:after="0"/>
        <w:rPr>
          <w:rFonts w:ascii="Arial" w:hAnsi="Arial" w:cs="Arial"/>
          <w:sz w:val="20"/>
          <w:szCs w:val="20"/>
        </w:rPr>
      </w:pPr>
      <w:r>
        <w:rPr>
          <w:rFonts w:ascii="Arial" w:hAnsi="Arial" w:cs="Arial"/>
          <w:sz w:val="20"/>
          <w:szCs w:val="20"/>
        </w:rPr>
        <w:t>All the projects in the sample had enough available documentary evidence to code the targeted indicators for this exercise, despite the limitations noted in section 2.</w:t>
      </w:r>
    </w:p>
    <w:p w14:paraId="52209111" w14:textId="52CD9103" w:rsidR="000513A5" w:rsidRDefault="000513A5" w:rsidP="000513A5">
      <w:pPr>
        <w:pStyle w:val="ListParagraph"/>
        <w:numPr>
          <w:ilvl w:val="0"/>
          <w:numId w:val="17"/>
        </w:numPr>
        <w:spacing w:after="0"/>
        <w:rPr>
          <w:rFonts w:ascii="Arial" w:hAnsi="Arial" w:cs="Arial"/>
          <w:sz w:val="20"/>
          <w:szCs w:val="20"/>
        </w:rPr>
      </w:pPr>
      <w:r>
        <w:rPr>
          <w:rFonts w:ascii="Arial" w:hAnsi="Arial" w:cs="Arial"/>
          <w:sz w:val="20"/>
          <w:szCs w:val="20"/>
        </w:rPr>
        <w:lastRenderedPageBreak/>
        <w:t xml:space="preserve">The performance overall against the GPSA operational indicators is </w:t>
      </w:r>
      <w:proofErr w:type="gramStart"/>
      <w:r>
        <w:rPr>
          <w:rFonts w:ascii="Arial" w:hAnsi="Arial" w:cs="Arial"/>
          <w:sz w:val="20"/>
          <w:szCs w:val="20"/>
        </w:rPr>
        <w:t>relatively high</w:t>
      </w:r>
      <w:proofErr w:type="gramEnd"/>
      <w:r>
        <w:rPr>
          <w:rFonts w:ascii="Arial" w:hAnsi="Arial" w:cs="Arial"/>
          <w:sz w:val="20"/>
          <w:szCs w:val="20"/>
        </w:rPr>
        <w:t xml:space="preserve"> in </w:t>
      </w:r>
      <w:r w:rsidR="00D871D3">
        <w:rPr>
          <w:rFonts w:ascii="Arial" w:hAnsi="Arial" w:cs="Arial"/>
          <w:sz w:val="20"/>
          <w:szCs w:val="20"/>
        </w:rPr>
        <w:t>fulfillin</w:t>
      </w:r>
      <w:r>
        <w:rPr>
          <w:rFonts w:ascii="Arial" w:hAnsi="Arial" w:cs="Arial"/>
          <w:sz w:val="20"/>
          <w:szCs w:val="20"/>
        </w:rPr>
        <w:t>g the</w:t>
      </w:r>
      <w:r w:rsidR="00D871D3">
        <w:rPr>
          <w:rFonts w:ascii="Arial" w:hAnsi="Arial" w:cs="Arial"/>
          <w:sz w:val="20"/>
          <w:szCs w:val="20"/>
        </w:rPr>
        <w:t xml:space="preserve"> </w:t>
      </w:r>
      <w:r w:rsidR="002F74B4">
        <w:rPr>
          <w:rFonts w:ascii="Arial" w:hAnsi="Arial" w:cs="Arial"/>
          <w:sz w:val="20"/>
          <w:szCs w:val="20"/>
        </w:rPr>
        <w:t>criteria</w:t>
      </w:r>
      <w:r w:rsidR="00D871D3">
        <w:rPr>
          <w:rFonts w:ascii="Arial" w:hAnsi="Arial" w:cs="Arial"/>
          <w:sz w:val="20"/>
          <w:szCs w:val="20"/>
        </w:rPr>
        <w:t xml:space="preserve"> for the</w:t>
      </w:r>
      <w:r>
        <w:rPr>
          <w:rFonts w:ascii="Arial" w:hAnsi="Arial" w:cs="Arial"/>
          <w:sz w:val="20"/>
          <w:szCs w:val="20"/>
        </w:rPr>
        <w:t xml:space="preserve"> </w:t>
      </w:r>
      <w:r w:rsidR="00D871D3">
        <w:rPr>
          <w:rFonts w:ascii="Arial" w:hAnsi="Arial" w:cs="Arial"/>
          <w:sz w:val="20"/>
          <w:szCs w:val="20"/>
        </w:rPr>
        <w:t xml:space="preserve">operational </w:t>
      </w:r>
      <w:r>
        <w:rPr>
          <w:rFonts w:ascii="Arial" w:hAnsi="Arial" w:cs="Arial"/>
          <w:sz w:val="20"/>
          <w:szCs w:val="20"/>
        </w:rPr>
        <w:t xml:space="preserve">indicators </w:t>
      </w:r>
      <w:r w:rsidR="00D871D3">
        <w:rPr>
          <w:rFonts w:ascii="Arial" w:hAnsi="Arial" w:cs="Arial"/>
          <w:sz w:val="20"/>
          <w:szCs w:val="20"/>
        </w:rPr>
        <w:t xml:space="preserve">as per the </w:t>
      </w:r>
      <w:r>
        <w:rPr>
          <w:rFonts w:ascii="Arial" w:hAnsi="Arial" w:cs="Arial"/>
          <w:sz w:val="20"/>
          <w:szCs w:val="20"/>
        </w:rPr>
        <w:t xml:space="preserve">GPSA’s </w:t>
      </w:r>
      <w:r w:rsidR="00D871D3">
        <w:rPr>
          <w:rFonts w:ascii="Arial" w:hAnsi="Arial" w:cs="Arial"/>
          <w:sz w:val="20"/>
          <w:szCs w:val="20"/>
        </w:rPr>
        <w:t>C</w:t>
      </w:r>
      <w:r>
        <w:rPr>
          <w:rFonts w:ascii="Arial" w:hAnsi="Arial" w:cs="Arial"/>
          <w:sz w:val="20"/>
          <w:szCs w:val="20"/>
        </w:rPr>
        <w:t>ollaborative</w:t>
      </w:r>
      <w:r w:rsidR="00D871D3">
        <w:rPr>
          <w:rFonts w:ascii="Arial" w:hAnsi="Arial" w:cs="Arial"/>
          <w:sz w:val="20"/>
          <w:szCs w:val="20"/>
        </w:rPr>
        <w:t xml:space="preserve"> Socal</w:t>
      </w:r>
      <w:r>
        <w:rPr>
          <w:rFonts w:ascii="Arial" w:hAnsi="Arial" w:cs="Arial"/>
          <w:sz w:val="20"/>
          <w:szCs w:val="20"/>
        </w:rPr>
        <w:t xml:space="preserve"> </w:t>
      </w:r>
      <w:r w:rsidR="00D871D3">
        <w:rPr>
          <w:rFonts w:ascii="Arial" w:hAnsi="Arial" w:cs="Arial"/>
          <w:sz w:val="20"/>
          <w:szCs w:val="20"/>
        </w:rPr>
        <w:t>Ac</w:t>
      </w:r>
      <w:r>
        <w:rPr>
          <w:rFonts w:ascii="Arial" w:hAnsi="Arial" w:cs="Arial"/>
          <w:sz w:val="20"/>
          <w:szCs w:val="20"/>
        </w:rPr>
        <w:t xml:space="preserve">countability </w:t>
      </w:r>
      <w:r w:rsidR="00D871D3">
        <w:rPr>
          <w:rFonts w:ascii="Arial" w:hAnsi="Arial" w:cs="Arial"/>
          <w:sz w:val="20"/>
          <w:szCs w:val="20"/>
        </w:rPr>
        <w:t xml:space="preserve">approach, concepts and </w:t>
      </w:r>
      <w:r>
        <w:rPr>
          <w:rFonts w:ascii="Arial" w:hAnsi="Arial" w:cs="Arial"/>
          <w:sz w:val="20"/>
          <w:szCs w:val="20"/>
        </w:rPr>
        <w:t xml:space="preserve">processes and </w:t>
      </w:r>
      <w:r w:rsidR="00D871D3">
        <w:rPr>
          <w:rFonts w:ascii="Arial" w:hAnsi="Arial" w:cs="Arial"/>
          <w:sz w:val="20"/>
          <w:szCs w:val="20"/>
        </w:rPr>
        <w:t xml:space="preserve">its </w:t>
      </w:r>
      <w:r>
        <w:rPr>
          <w:rFonts w:ascii="Arial" w:hAnsi="Arial" w:cs="Arial"/>
          <w:sz w:val="20"/>
          <w:szCs w:val="20"/>
        </w:rPr>
        <w:t>aims for the portfoli</w:t>
      </w:r>
      <w:r w:rsidR="00D871D3">
        <w:rPr>
          <w:rFonts w:ascii="Arial" w:hAnsi="Arial" w:cs="Arial"/>
          <w:sz w:val="20"/>
          <w:szCs w:val="20"/>
        </w:rPr>
        <w:t xml:space="preserve">o, as reflected in the Theory of Action. This performance must </w:t>
      </w:r>
      <w:proofErr w:type="gramStart"/>
      <w:r w:rsidR="00D871D3">
        <w:rPr>
          <w:rFonts w:ascii="Arial" w:hAnsi="Arial" w:cs="Arial"/>
          <w:sz w:val="20"/>
          <w:szCs w:val="20"/>
        </w:rPr>
        <w:t>be understood</w:t>
      </w:r>
      <w:proofErr w:type="gramEnd"/>
      <w:r w:rsidR="00D871D3">
        <w:rPr>
          <w:rFonts w:ascii="Arial" w:hAnsi="Arial" w:cs="Arial"/>
          <w:sz w:val="20"/>
          <w:szCs w:val="20"/>
        </w:rPr>
        <w:t xml:space="preserve"> with the MERL guide and specific GPSA’s concepts and </w:t>
      </w:r>
      <w:r w:rsidR="002F74B4">
        <w:rPr>
          <w:rFonts w:ascii="Arial" w:hAnsi="Arial" w:cs="Arial"/>
          <w:sz w:val="20"/>
          <w:szCs w:val="20"/>
        </w:rPr>
        <w:t>understanding</w:t>
      </w:r>
      <w:r w:rsidR="00D871D3">
        <w:rPr>
          <w:rFonts w:ascii="Arial" w:hAnsi="Arial" w:cs="Arial"/>
          <w:sz w:val="20"/>
          <w:szCs w:val="20"/>
        </w:rPr>
        <w:t xml:space="preserve"> of ‘what success looks like’ for the GPSA. It also must </w:t>
      </w:r>
      <w:proofErr w:type="gramStart"/>
      <w:r w:rsidR="00D871D3">
        <w:rPr>
          <w:rFonts w:ascii="Arial" w:hAnsi="Arial" w:cs="Arial"/>
          <w:sz w:val="20"/>
          <w:szCs w:val="20"/>
        </w:rPr>
        <w:t>be interpreted</w:t>
      </w:r>
      <w:proofErr w:type="gramEnd"/>
      <w:r w:rsidR="00D871D3">
        <w:rPr>
          <w:rFonts w:ascii="Arial" w:hAnsi="Arial" w:cs="Arial"/>
          <w:sz w:val="20"/>
          <w:szCs w:val="20"/>
        </w:rPr>
        <w:t xml:space="preserve"> in line with the limitations </w:t>
      </w:r>
      <w:r w:rsidR="00FC45BF">
        <w:rPr>
          <w:rFonts w:ascii="Arial" w:hAnsi="Arial" w:cs="Arial"/>
          <w:sz w:val="20"/>
          <w:szCs w:val="20"/>
        </w:rPr>
        <w:t>and trade-</w:t>
      </w:r>
      <w:r w:rsidR="00D871D3">
        <w:rPr>
          <w:rFonts w:ascii="Arial" w:hAnsi="Arial" w:cs="Arial"/>
          <w:sz w:val="20"/>
          <w:szCs w:val="20"/>
        </w:rPr>
        <w:t>of</w:t>
      </w:r>
      <w:r w:rsidR="00FC45BF">
        <w:rPr>
          <w:rFonts w:ascii="Arial" w:hAnsi="Arial" w:cs="Arial"/>
          <w:sz w:val="20"/>
          <w:szCs w:val="20"/>
        </w:rPr>
        <w:t>fs made for</w:t>
      </w:r>
      <w:r w:rsidR="00D871D3">
        <w:rPr>
          <w:rFonts w:ascii="Arial" w:hAnsi="Arial" w:cs="Arial"/>
          <w:sz w:val="20"/>
          <w:szCs w:val="20"/>
        </w:rPr>
        <w:t xml:space="preserve"> this retroactive coding exercise. </w:t>
      </w:r>
    </w:p>
    <w:p w14:paraId="4E11E257" w14:textId="7717E6A2" w:rsidR="000513A5" w:rsidRDefault="000513A5" w:rsidP="000513A5">
      <w:pPr>
        <w:pStyle w:val="ListParagraph"/>
        <w:numPr>
          <w:ilvl w:val="0"/>
          <w:numId w:val="17"/>
        </w:numPr>
        <w:spacing w:after="0"/>
        <w:rPr>
          <w:rFonts w:ascii="Arial" w:hAnsi="Arial" w:cs="Arial"/>
          <w:sz w:val="20"/>
          <w:szCs w:val="20"/>
        </w:rPr>
      </w:pPr>
      <w:r>
        <w:rPr>
          <w:rFonts w:ascii="Arial" w:hAnsi="Arial" w:cs="Arial"/>
          <w:sz w:val="20"/>
          <w:szCs w:val="20"/>
        </w:rPr>
        <w:t>There are some additional units of analysis and data points that are helpful and important to include when interpreting the indicators such as for grant partner capacity (outcome 1a indicator); corrective measures (1c outcome)</w:t>
      </w:r>
      <w:r w:rsidR="00EE30C8">
        <w:rPr>
          <w:rFonts w:ascii="Arial" w:hAnsi="Arial" w:cs="Arial"/>
          <w:sz w:val="20"/>
          <w:szCs w:val="20"/>
        </w:rPr>
        <w:t xml:space="preserve">; </w:t>
      </w:r>
      <w:r w:rsidR="002F74B4">
        <w:rPr>
          <w:rFonts w:ascii="Arial" w:hAnsi="Arial" w:cs="Arial"/>
          <w:sz w:val="20"/>
          <w:szCs w:val="20"/>
        </w:rPr>
        <w:t>sustainability</w:t>
      </w:r>
      <w:r>
        <w:rPr>
          <w:rFonts w:ascii="Arial" w:hAnsi="Arial" w:cs="Arial"/>
          <w:sz w:val="20"/>
          <w:szCs w:val="20"/>
        </w:rPr>
        <w:t xml:space="preserve"> outcome 4)</w:t>
      </w:r>
      <w:r w:rsidR="00EE30C8">
        <w:rPr>
          <w:rFonts w:ascii="Arial" w:hAnsi="Arial" w:cs="Arial"/>
          <w:sz w:val="20"/>
          <w:szCs w:val="20"/>
        </w:rPr>
        <w:t xml:space="preserve">; and lessons/course corrections (output </w:t>
      </w:r>
      <w:proofErr w:type="gramStart"/>
      <w:r w:rsidR="00EE30C8">
        <w:rPr>
          <w:rFonts w:ascii="Arial" w:hAnsi="Arial" w:cs="Arial"/>
          <w:sz w:val="20"/>
          <w:szCs w:val="20"/>
        </w:rPr>
        <w:t>2</w:t>
      </w:r>
      <w:proofErr w:type="gramEnd"/>
      <w:r w:rsidR="00EE30C8">
        <w:rPr>
          <w:rFonts w:ascii="Arial" w:hAnsi="Arial" w:cs="Arial"/>
          <w:sz w:val="20"/>
          <w:szCs w:val="20"/>
        </w:rPr>
        <w:t xml:space="preserve"> indicator). </w:t>
      </w:r>
    </w:p>
    <w:p w14:paraId="105B0010" w14:textId="77777777" w:rsidR="006E74A2" w:rsidRPr="00EE30C8" w:rsidRDefault="006E74A2" w:rsidP="003157E4">
      <w:pPr>
        <w:spacing w:after="0"/>
        <w:rPr>
          <w:rFonts w:ascii="Arial" w:hAnsi="Arial" w:cs="Arial"/>
          <w:sz w:val="20"/>
          <w:szCs w:val="20"/>
          <w:lang w:val="en-US"/>
        </w:rPr>
      </w:pPr>
    </w:p>
    <w:p w14:paraId="3314C96F" w14:textId="4EFA4165" w:rsidR="006E74A2" w:rsidRDefault="00A43995" w:rsidP="003157E4">
      <w:pPr>
        <w:spacing w:after="0"/>
        <w:rPr>
          <w:rFonts w:ascii="Arial" w:hAnsi="Arial" w:cs="Arial"/>
          <w:sz w:val="20"/>
          <w:szCs w:val="20"/>
        </w:rPr>
      </w:pPr>
      <w:r>
        <w:rPr>
          <w:rFonts w:ascii="Arial" w:hAnsi="Arial" w:cs="Arial"/>
          <w:sz w:val="20"/>
          <w:szCs w:val="20"/>
        </w:rPr>
        <w:t>The</w:t>
      </w:r>
      <w:r w:rsidR="00752179">
        <w:rPr>
          <w:rFonts w:ascii="Arial" w:hAnsi="Arial" w:cs="Arial"/>
          <w:sz w:val="20"/>
          <w:szCs w:val="20"/>
        </w:rPr>
        <w:t xml:space="preserve"> following provides a brief overview of key points of note</w:t>
      </w:r>
      <w:r w:rsidR="00C569D8">
        <w:rPr>
          <w:rFonts w:ascii="Arial" w:hAnsi="Arial" w:cs="Arial"/>
          <w:sz w:val="20"/>
          <w:szCs w:val="20"/>
        </w:rPr>
        <w:t xml:space="preserve"> for coding and aggregating each </w:t>
      </w:r>
      <w:r w:rsidR="00772B25">
        <w:rPr>
          <w:rFonts w:ascii="Arial" w:hAnsi="Arial" w:cs="Arial"/>
          <w:sz w:val="20"/>
          <w:szCs w:val="20"/>
        </w:rPr>
        <w:t>indicator and</w:t>
      </w:r>
      <w:r w:rsidR="00752179">
        <w:rPr>
          <w:rFonts w:ascii="Arial" w:hAnsi="Arial" w:cs="Arial"/>
          <w:sz w:val="20"/>
          <w:szCs w:val="20"/>
        </w:rPr>
        <w:t xml:space="preserve"> limitations </w:t>
      </w:r>
      <w:proofErr w:type="gramStart"/>
      <w:r w:rsidR="00772B25">
        <w:rPr>
          <w:rFonts w:ascii="Arial" w:hAnsi="Arial" w:cs="Arial"/>
          <w:sz w:val="20"/>
          <w:szCs w:val="20"/>
        </w:rPr>
        <w:t>in regard to</w:t>
      </w:r>
      <w:proofErr w:type="gramEnd"/>
      <w:r w:rsidR="00752179">
        <w:rPr>
          <w:rFonts w:ascii="Arial" w:hAnsi="Arial" w:cs="Arial"/>
          <w:sz w:val="20"/>
          <w:szCs w:val="20"/>
        </w:rPr>
        <w:t xml:space="preserve"> the aggregated values</w:t>
      </w:r>
      <w:r w:rsidR="00C569D8">
        <w:rPr>
          <w:rFonts w:ascii="Arial" w:hAnsi="Arial" w:cs="Arial"/>
          <w:sz w:val="20"/>
          <w:szCs w:val="20"/>
        </w:rPr>
        <w:t>.</w:t>
      </w:r>
    </w:p>
    <w:p w14:paraId="08342FA0" w14:textId="77777777" w:rsidR="00752179" w:rsidRPr="00C569D8" w:rsidRDefault="00752179" w:rsidP="003157E4">
      <w:pPr>
        <w:spacing w:after="0"/>
        <w:rPr>
          <w:rFonts w:ascii="Arial" w:hAnsi="Arial" w:cs="Arial"/>
          <w:b/>
          <w:bCs/>
          <w:sz w:val="20"/>
          <w:szCs w:val="20"/>
        </w:rPr>
      </w:pPr>
    </w:p>
    <w:p w14:paraId="0B75BBFE" w14:textId="4AA6B5B1" w:rsidR="00DC5146" w:rsidRPr="00DC5146" w:rsidRDefault="008E384F" w:rsidP="00C569D8">
      <w:pPr>
        <w:spacing w:after="0"/>
        <w:rPr>
          <w:rFonts w:ascii="Arial" w:hAnsi="Arial" w:cs="Arial"/>
          <w:b/>
          <w:bCs/>
          <w:sz w:val="20"/>
          <w:szCs w:val="20"/>
          <w:u w:val="single"/>
        </w:rPr>
      </w:pPr>
      <w:r w:rsidRPr="00DC5146">
        <w:rPr>
          <w:rFonts w:ascii="Arial" w:hAnsi="Arial" w:cs="Arial"/>
          <w:b/>
          <w:bCs/>
          <w:sz w:val="20"/>
          <w:szCs w:val="20"/>
          <w:u w:val="single"/>
        </w:rPr>
        <w:t>Outcome 1</w:t>
      </w:r>
      <w:r w:rsidR="00DC5146">
        <w:rPr>
          <w:rFonts w:ascii="Arial" w:hAnsi="Arial" w:cs="Arial"/>
          <w:b/>
          <w:bCs/>
          <w:sz w:val="20"/>
          <w:szCs w:val="20"/>
          <w:u w:val="single"/>
        </w:rPr>
        <w:t>a</w:t>
      </w:r>
      <w:r w:rsidR="00C569D8" w:rsidRPr="00DC5146">
        <w:rPr>
          <w:rFonts w:ascii="Arial" w:hAnsi="Arial" w:cs="Arial"/>
          <w:b/>
          <w:bCs/>
          <w:sz w:val="20"/>
          <w:szCs w:val="20"/>
          <w:u w:val="single"/>
        </w:rPr>
        <w:t xml:space="preserve"> indicator</w:t>
      </w:r>
    </w:p>
    <w:p w14:paraId="746D2888" w14:textId="77777777" w:rsidR="00DC5146" w:rsidRDefault="00DC5146" w:rsidP="00C569D8">
      <w:pPr>
        <w:spacing w:after="0"/>
        <w:rPr>
          <w:rFonts w:ascii="Arial" w:hAnsi="Arial" w:cs="Arial"/>
          <w:b/>
          <w:bCs/>
          <w:sz w:val="20"/>
          <w:szCs w:val="20"/>
        </w:rPr>
      </w:pPr>
    </w:p>
    <w:p w14:paraId="06AA0607" w14:textId="016C06B6" w:rsidR="00DC5146" w:rsidRDefault="00DC5146" w:rsidP="00C569D8">
      <w:pPr>
        <w:spacing w:after="0"/>
        <w:rPr>
          <w:rFonts w:ascii="Arial" w:hAnsi="Arial" w:cs="Arial"/>
          <w:sz w:val="20"/>
          <w:szCs w:val="20"/>
        </w:rPr>
      </w:pPr>
      <w:r w:rsidRPr="00DC5146">
        <w:rPr>
          <w:rFonts w:ascii="Arial" w:hAnsi="Arial" w:cs="Arial"/>
          <w:i/>
          <w:iCs/>
          <w:sz w:val="20"/>
          <w:szCs w:val="20"/>
        </w:rPr>
        <w:t>Overview:</w:t>
      </w:r>
      <w:r w:rsidR="00C569D8" w:rsidRPr="00C569D8">
        <w:rPr>
          <w:rFonts w:ascii="Arial" w:hAnsi="Arial" w:cs="Arial"/>
          <w:sz w:val="20"/>
          <w:szCs w:val="20"/>
        </w:rPr>
        <w:t xml:space="preserve"> </w:t>
      </w:r>
      <w:r>
        <w:rPr>
          <w:rFonts w:ascii="Arial" w:hAnsi="Arial" w:cs="Arial"/>
          <w:sz w:val="20"/>
          <w:szCs w:val="20"/>
        </w:rPr>
        <w:t>A vast majority of the projects the sample</w:t>
      </w:r>
      <w:r w:rsidR="008E0365">
        <w:rPr>
          <w:rFonts w:ascii="Arial" w:hAnsi="Arial" w:cs="Arial"/>
          <w:sz w:val="20"/>
          <w:szCs w:val="20"/>
        </w:rPr>
        <w:t xml:space="preserve"> were coded as</w:t>
      </w:r>
      <w:r>
        <w:rPr>
          <w:rFonts w:ascii="Arial" w:hAnsi="Arial" w:cs="Arial"/>
          <w:sz w:val="20"/>
          <w:szCs w:val="20"/>
        </w:rPr>
        <w:t xml:space="preserve"> fulfill</w:t>
      </w:r>
      <w:r w:rsidR="008E0365">
        <w:rPr>
          <w:rFonts w:ascii="Arial" w:hAnsi="Arial" w:cs="Arial"/>
          <w:sz w:val="20"/>
          <w:szCs w:val="20"/>
        </w:rPr>
        <w:t>ing</w:t>
      </w:r>
      <w:r>
        <w:rPr>
          <w:rFonts w:ascii="Arial" w:hAnsi="Arial" w:cs="Arial"/>
          <w:sz w:val="20"/>
          <w:szCs w:val="20"/>
        </w:rPr>
        <w:t xml:space="preserve"> this criteria at 1</w:t>
      </w:r>
      <w:r w:rsidR="0052525E">
        <w:rPr>
          <w:rFonts w:ascii="Arial" w:hAnsi="Arial" w:cs="Arial"/>
          <w:sz w:val="20"/>
          <w:szCs w:val="20"/>
        </w:rPr>
        <w:t>2/</w:t>
      </w:r>
      <w:r>
        <w:rPr>
          <w:rFonts w:ascii="Arial" w:hAnsi="Arial" w:cs="Arial"/>
          <w:sz w:val="20"/>
          <w:szCs w:val="20"/>
        </w:rPr>
        <w:t>15 projects or 8</w:t>
      </w:r>
      <w:r w:rsidR="0052525E">
        <w:rPr>
          <w:rFonts w:ascii="Arial" w:hAnsi="Arial" w:cs="Arial"/>
          <w:sz w:val="20"/>
          <w:szCs w:val="20"/>
        </w:rPr>
        <w:t>0</w:t>
      </w:r>
      <w:r>
        <w:rPr>
          <w:rFonts w:ascii="Arial" w:hAnsi="Arial" w:cs="Arial"/>
          <w:sz w:val="20"/>
          <w:szCs w:val="20"/>
        </w:rPr>
        <w:t>%.</w:t>
      </w:r>
    </w:p>
    <w:p w14:paraId="3744F2CC" w14:textId="77777777" w:rsidR="00DC5146" w:rsidRDefault="00DC5146" w:rsidP="00C569D8">
      <w:pPr>
        <w:spacing w:after="0"/>
        <w:rPr>
          <w:rFonts w:ascii="Arial" w:hAnsi="Arial" w:cs="Arial"/>
          <w:sz w:val="20"/>
          <w:szCs w:val="20"/>
        </w:rPr>
      </w:pPr>
    </w:p>
    <w:p w14:paraId="6B27C252" w14:textId="43B5FA02" w:rsidR="00C569D8" w:rsidRPr="00C569D8" w:rsidRDefault="00C569D8" w:rsidP="00C569D8">
      <w:pPr>
        <w:spacing w:after="0"/>
        <w:rPr>
          <w:rFonts w:ascii="Arial" w:hAnsi="Arial" w:cs="Arial"/>
          <w:sz w:val="20"/>
          <w:szCs w:val="20"/>
        </w:rPr>
      </w:pPr>
      <w:r w:rsidRPr="00C569D8">
        <w:rPr>
          <w:rFonts w:ascii="Arial" w:hAnsi="Arial" w:cs="Arial"/>
          <w:sz w:val="20"/>
          <w:szCs w:val="20"/>
        </w:rPr>
        <w:t>The GPSA has identified and prioritized the following specific five capacities</w:t>
      </w:r>
      <w:r w:rsidR="00DC5146">
        <w:rPr>
          <w:rStyle w:val="FootnoteReference"/>
          <w:rFonts w:ascii="Arial" w:hAnsi="Arial" w:cs="Arial"/>
          <w:sz w:val="20"/>
          <w:szCs w:val="20"/>
        </w:rPr>
        <w:footnoteReference w:id="1"/>
      </w:r>
      <w:r w:rsidRPr="00C569D8">
        <w:rPr>
          <w:rFonts w:ascii="Arial" w:hAnsi="Arial" w:cs="Arial"/>
          <w:sz w:val="20"/>
          <w:szCs w:val="20"/>
        </w:rPr>
        <w:t xml:space="preserve"> for Collaborative Social Accountability as follows:</w:t>
      </w:r>
    </w:p>
    <w:p w14:paraId="6F56BA06" w14:textId="77777777" w:rsidR="00C569D8" w:rsidRPr="00C569D8" w:rsidRDefault="00C569D8" w:rsidP="00C569D8">
      <w:pPr>
        <w:pStyle w:val="ListParagraph"/>
        <w:numPr>
          <w:ilvl w:val="0"/>
          <w:numId w:val="18"/>
        </w:numPr>
        <w:spacing w:after="0"/>
        <w:rPr>
          <w:rFonts w:ascii="Arial" w:hAnsi="Arial" w:cs="Arial"/>
          <w:sz w:val="20"/>
          <w:szCs w:val="20"/>
        </w:rPr>
      </w:pPr>
      <w:r w:rsidRPr="00C569D8">
        <w:rPr>
          <w:rFonts w:ascii="Arial" w:hAnsi="Arial" w:cs="Arial"/>
          <w:sz w:val="20"/>
          <w:szCs w:val="20"/>
        </w:rPr>
        <w:t>Civic capacity (2 types): intra-civic &amp; inter-civic</w:t>
      </w:r>
    </w:p>
    <w:p w14:paraId="6D2B6A4B" w14:textId="77777777" w:rsidR="00C569D8" w:rsidRPr="00C569D8" w:rsidRDefault="00C569D8" w:rsidP="00C569D8">
      <w:pPr>
        <w:pStyle w:val="ListParagraph"/>
        <w:numPr>
          <w:ilvl w:val="0"/>
          <w:numId w:val="18"/>
        </w:numPr>
        <w:spacing w:after="0"/>
        <w:rPr>
          <w:rFonts w:ascii="Arial" w:hAnsi="Arial" w:cs="Arial"/>
          <w:sz w:val="20"/>
          <w:szCs w:val="20"/>
        </w:rPr>
      </w:pPr>
      <w:r w:rsidRPr="00C569D8">
        <w:rPr>
          <w:rFonts w:ascii="Arial" w:hAnsi="Arial" w:cs="Arial"/>
          <w:sz w:val="20"/>
          <w:szCs w:val="20"/>
        </w:rPr>
        <w:t>Organizational and operational capacity</w:t>
      </w:r>
    </w:p>
    <w:p w14:paraId="3599B1AA" w14:textId="77777777" w:rsidR="00C569D8" w:rsidRPr="00C569D8" w:rsidRDefault="00C569D8" w:rsidP="00C569D8">
      <w:pPr>
        <w:pStyle w:val="ListParagraph"/>
        <w:numPr>
          <w:ilvl w:val="0"/>
          <w:numId w:val="18"/>
        </w:numPr>
        <w:spacing w:after="0"/>
        <w:rPr>
          <w:rFonts w:ascii="Arial" w:hAnsi="Arial" w:cs="Arial"/>
          <w:sz w:val="20"/>
          <w:szCs w:val="20"/>
        </w:rPr>
      </w:pPr>
      <w:r w:rsidRPr="00C569D8">
        <w:rPr>
          <w:rFonts w:ascii="Arial" w:hAnsi="Arial" w:cs="Arial"/>
          <w:sz w:val="20"/>
          <w:szCs w:val="20"/>
        </w:rPr>
        <w:t>Analytical capacity</w:t>
      </w:r>
    </w:p>
    <w:p w14:paraId="3EF5956E" w14:textId="75E1FECE" w:rsidR="00C569D8" w:rsidRPr="00DC5146" w:rsidRDefault="00C569D8" w:rsidP="00C569D8">
      <w:pPr>
        <w:pStyle w:val="ListParagraph"/>
        <w:numPr>
          <w:ilvl w:val="0"/>
          <w:numId w:val="18"/>
        </w:numPr>
        <w:spacing w:after="0"/>
        <w:rPr>
          <w:rFonts w:ascii="Arial" w:hAnsi="Arial" w:cs="Arial"/>
          <w:sz w:val="20"/>
          <w:szCs w:val="20"/>
        </w:rPr>
      </w:pPr>
      <w:r w:rsidRPr="00C569D8">
        <w:rPr>
          <w:rFonts w:ascii="Arial" w:hAnsi="Arial" w:cs="Arial"/>
          <w:sz w:val="20"/>
          <w:szCs w:val="20"/>
        </w:rPr>
        <w:t>Adaptive capacity</w:t>
      </w:r>
    </w:p>
    <w:p w14:paraId="6E7264E4" w14:textId="77777777" w:rsidR="00C569D8" w:rsidRPr="00C569D8" w:rsidRDefault="00C569D8" w:rsidP="00C569D8">
      <w:pPr>
        <w:spacing w:after="0"/>
        <w:rPr>
          <w:rFonts w:ascii="Arial" w:hAnsi="Arial" w:cs="Arial"/>
          <w:sz w:val="20"/>
          <w:szCs w:val="20"/>
        </w:rPr>
      </w:pPr>
    </w:p>
    <w:p w14:paraId="3595670E" w14:textId="12634C29" w:rsidR="00C569D8" w:rsidRPr="00C569D8" w:rsidRDefault="00C569D8" w:rsidP="00C569D8">
      <w:pPr>
        <w:spacing w:after="0"/>
        <w:rPr>
          <w:rFonts w:ascii="Arial" w:hAnsi="Arial" w:cs="Arial"/>
          <w:sz w:val="20"/>
          <w:szCs w:val="20"/>
        </w:rPr>
      </w:pPr>
      <w:r w:rsidRPr="00C569D8">
        <w:rPr>
          <w:rFonts w:ascii="Arial" w:hAnsi="Arial" w:cs="Arial"/>
          <w:sz w:val="20"/>
          <w:szCs w:val="20"/>
        </w:rPr>
        <w:t>The scale defined by the GPSA</w:t>
      </w:r>
      <w:r w:rsidR="00DC5146">
        <w:rPr>
          <w:rFonts w:ascii="Arial" w:hAnsi="Arial" w:cs="Arial"/>
          <w:sz w:val="20"/>
          <w:szCs w:val="20"/>
        </w:rPr>
        <w:t xml:space="preserve"> (and included in the MERL Guide)</w:t>
      </w:r>
      <w:r w:rsidRPr="00C569D8">
        <w:rPr>
          <w:rFonts w:ascii="Arial" w:hAnsi="Arial" w:cs="Arial"/>
          <w:sz w:val="20"/>
          <w:szCs w:val="20"/>
        </w:rPr>
        <w:t xml:space="preserve"> for ranking each capacity is as follows:</w:t>
      </w:r>
    </w:p>
    <w:p w14:paraId="3F9F510A" w14:textId="77777777" w:rsidR="00C569D8" w:rsidRPr="00C569D8" w:rsidRDefault="00C569D8" w:rsidP="00C569D8">
      <w:pPr>
        <w:spacing w:after="0"/>
        <w:rPr>
          <w:rFonts w:ascii="Arial" w:hAnsi="Arial" w:cs="Arial"/>
          <w:sz w:val="20"/>
          <w:szCs w:val="20"/>
        </w:rPr>
      </w:pPr>
      <w:r w:rsidRPr="00C569D8">
        <w:rPr>
          <w:rFonts w:ascii="Arial" w:hAnsi="Arial" w:cs="Arial"/>
          <w:sz w:val="20"/>
          <w:szCs w:val="20"/>
        </w:rPr>
        <w:t>•</w:t>
      </w:r>
      <w:r w:rsidRPr="00C569D8">
        <w:rPr>
          <w:rFonts w:ascii="Arial" w:hAnsi="Arial" w:cs="Arial"/>
          <w:sz w:val="20"/>
          <w:szCs w:val="20"/>
        </w:rPr>
        <w:tab/>
        <w:t>Deteriorated (1)</w:t>
      </w:r>
    </w:p>
    <w:p w14:paraId="5DF4B503" w14:textId="77777777" w:rsidR="00C569D8" w:rsidRPr="00C569D8" w:rsidRDefault="00C569D8" w:rsidP="00C569D8">
      <w:pPr>
        <w:spacing w:after="0"/>
        <w:rPr>
          <w:rFonts w:ascii="Arial" w:hAnsi="Arial" w:cs="Arial"/>
          <w:sz w:val="20"/>
          <w:szCs w:val="20"/>
        </w:rPr>
      </w:pPr>
      <w:r w:rsidRPr="00C569D8">
        <w:rPr>
          <w:rFonts w:ascii="Arial" w:hAnsi="Arial" w:cs="Arial"/>
          <w:sz w:val="20"/>
          <w:szCs w:val="20"/>
        </w:rPr>
        <w:t>•</w:t>
      </w:r>
      <w:r w:rsidRPr="00C569D8">
        <w:rPr>
          <w:rFonts w:ascii="Arial" w:hAnsi="Arial" w:cs="Arial"/>
          <w:sz w:val="20"/>
          <w:szCs w:val="20"/>
        </w:rPr>
        <w:tab/>
        <w:t>Neither improved nor deteriorated (2)</w:t>
      </w:r>
    </w:p>
    <w:p w14:paraId="0FD11FC4" w14:textId="77777777" w:rsidR="00C569D8" w:rsidRPr="00C569D8" w:rsidRDefault="00C569D8" w:rsidP="00C569D8">
      <w:pPr>
        <w:spacing w:after="0"/>
        <w:rPr>
          <w:rFonts w:ascii="Arial" w:hAnsi="Arial" w:cs="Arial"/>
          <w:sz w:val="20"/>
          <w:szCs w:val="20"/>
        </w:rPr>
      </w:pPr>
      <w:r w:rsidRPr="00C569D8">
        <w:rPr>
          <w:rFonts w:ascii="Arial" w:hAnsi="Arial" w:cs="Arial"/>
          <w:sz w:val="20"/>
          <w:szCs w:val="20"/>
        </w:rPr>
        <w:t>•</w:t>
      </w:r>
      <w:r w:rsidRPr="00C569D8">
        <w:rPr>
          <w:rFonts w:ascii="Arial" w:hAnsi="Arial" w:cs="Arial"/>
          <w:sz w:val="20"/>
          <w:szCs w:val="20"/>
        </w:rPr>
        <w:tab/>
        <w:t>Improved (3)</w:t>
      </w:r>
    </w:p>
    <w:p w14:paraId="64BC565A" w14:textId="77777777" w:rsidR="00C569D8" w:rsidRPr="00C569D8" w:rsidRDefault="00C569D8" w:rsidP="00C569D8">
      <w:pPr>
        <w:spacing w:after="0"/>
        <w:rPr>
          <w:rFonts w:ascii="Arial" w:hAnsi="Arial" w:cs="Arial"/>
          <w:sz w:val="20"/>
          <w:szCs w:val="20"/>
        </w:rPr>
      </w:pPr>
      <w:r w:rsidRPr="00C569D8">
        <w:rPr>
          <w:rFonts w:ascii="Arial" w:hAnsi="Arial" w:cs="Arial"/>
          <w:sz w:val="20"/>
          <w:szCs w:val="20"/>
        </w:rPr>
        <w:t>•</w:t>
      </w:r>
      <w:r w:rsidRPr="00C569D8">
        <w:rPr>
          <w:rFonts w:ascii="Arial" w:hAnsi="Arial" w:cs="Arial"/>
          <w:sz w:val="20"/>
          <w:szCs w:val="20"/>
        </w:rPr>
        <w:tab/>
        <w:t>Significantly improved (4)</w:t>
      </w:r>
    </w:p>
    <w:p w14:paraId="2849A4B8" w14:textId="77777777" w:rsidR="00C569D8" w:rsidRPr="00C569D8" w:rsidRDefault="00C569D8" w:rsidP="00C569D8">
      <w:pPr>
        <w:spacing w:after="0"/>
        <w:rPr>
          <w:rFonts w:ascii="Arial" w:hAnsi="Arial" w:cs="Arial"/>
          <w:sz w:val="20"/>
          <w:szCs w:val="20"/>
        </w:rPr>
      </w:pPr>
    </w:p>
    <w:p w14:paraId="2C410182" w14:textId="77777777" w:rsidR="00C569D8" w:rsidRPr="00C569D8" w:rsidRDefault="00C569D8" w:rsidP="00C569D8">
      <w:pPr>
        <w:spacing w:after="0"/>
        <w:rPr>
          <w:rFonts w:ascii="Arial" w:hAnsi="Arial" w:cs="Arial"/>
          <w:sz w:val="20"/>
          <w:szCs w:val="20"/>
        </w:rPr>
      </w:pPr>
      <w:r w:rsidRPr="00C569D8">
        <w:rPr>
          <w:rFonts w:ascii="Arial" w:hAnsi="Arial" w:cs="Arial"/>
          <w:sz w:val="20"/>
          <w:szCs w:val="20"/>
        </w:rPr>
        <w:t xml:space="preserve">Additionally, the target setting, </w:t>
      </w:r>
      <w:proofErr w:type="gramStart"/>
      <w:r w:rsidRPr="00C569D8">
        <w:rPr>
          <w:rFonts w:ascii="Arial" w:hAnsi="Arial" w:cs="Arial"/>
          <w:sz w:val="20"/>
          <w:szCs w:val="20"/>
        </w:rPr>
        <w:t>ranking</w:t>
      </w:r>
      <w:proofErr w:type="gramEnd"/>
      <w:r w:rsidRPr="00C569D8">
        <w:rPr>
          <w:rFonts w:ascii="Arial" w:hAnsi="Arial" w:cs="Arial"/>
          <w:sz w:val="20"/>
          <w:szCs w:val="20"/>
        </w:rPr>
        <w:t xml:space="preserve"> and weighting for GPSA partner capacity assessments is further defined in the MERL Guide for future capacity assessments which will be done on all projects routinely as part of the MERL system for each project. </w:t>
      </w:r>
    </w:p>
    <w:p w14:paraId="54E3A9D3" w14:textId="77777777" w:rsidR="00C569D8" w:rsidRPr="00C569D8" w:rsidRDefault="00C569D8" w:rsidP="00C569D8">
      <w:pPr>
        <w:spacing w:after="0"/>
        <w:rPr>
          <w:rFonts w:ascii="Arial" w:hAnsi="Arial" w:cs="Arial"/>
          <w:sz w:val="20"/>
          <w:szCs w:val="20"/>
        </w:rPr>
      </w:pPr>
    </w:p>
    <w:p w14:paraId="3CF6D613" w14:textId="77777777" w:rsidR="00C569D8" w:rsidRPr="00C569D8" w:rsidRDefault="00C569D8" w:rsidP="00C569D8">
      <w:pPr>
        <w:spacing w:after="0"/>
        <w:rPr>
          <w:rFonts w:ascii="Arial" w:hAnsi="Arial" w:cs="Arial"/>
          <w:sz w:val="20"/>
          <w:szCs w:val="20"/>
        </w:rPr>
      </w:pPr>
      <w:r w:rsidRPr="00C569D8">
        <w:rPr>
          <w:rFonts w:ascii="Arial" w:hAnsi="Arial" w:cs="Arial"/>
          <w:sz w:val="20"/>
          <w:szCs w:val="20"/>
        </w:rPr>
        <w:t xml:space="preserve">For each project, the coder used the available documentary evidence to determine the value of each project for this indicator. Specific examples and quotes are provided in each of the project coding files with sources and page numbers. </w:t>
      </w:r>
    </w:p>
    <w:p w14:paraId="647F693F" w14:textId="77777777" w:rsidR="00C569D8" w:rsidRPr="00C569D8" w:rsidRDefault="00C569D8" w:rsidP="00C569D8">
      <w:pPr>
        <w:spacing w:after="0"/>
        <w:rPr>
          <w:rFonts w:ascii="Arial" w:hAnsi="Arial" w:cs="Arial"/>
          <w:sz w:val="20"/>
          <w:szCs w:val="20"/>
        </w:rPr>
      </w:pPr>
    </w:p>
    <w:p w14:paraId="67898B08" w14:textId="77777777" w:rsidR="00C569D8" w:rsidRDefault="00C569D8" w:rsidP="00C569D8">
      <w:pPr>
        <w:spacing w:after="0"/>
        <w:rPr>
          <w:rFonts w:ascii="Arial" w:hAnsi="Arial" w:cs="Arial"/>
          <w:sz w:val="20"/>
          <w:szCs w:val="20"/>
        </w:rPr>
      </w:pPr>
      <w:r w:rsidRPr="00C569D8">
        <w:rPr>
          <w:rFonts w:ascii="Arial" w:hAnsi="Arial" w:cs="Arial"/>
          <w:sz w:val="20"/>
          <w:szCs w:val="20"/>
        </w:rPr>
        <w:t xml:space="preserve">A yes was assigned to all projects that were above a 2. The percentage of total projects that met this indicator criteria was calculated by dividing the total number of projects that received above a 2 by the total number of projects in the sample - in this case 12/15. </w:t>
      </w:r>
    </w:p>
    <w:p w14:paraId="1554BA43" w14:textId="77777777" w:rsidR="00C569D8" w:rsidRDefault="00C569D8" w:rsidP="00C569D8">
      <w:pPr>
        <w:spacing w:after="0"/>
        <w:rPr>
          <w:rFonts w:ascii="Arial" w:hAnsi="Arial" w:cs="Arial"/>
          <w:sz w:val="20"/>
          <w:szCs w:val="20"/>
        </w:rPr>
      </w:pPr>
    </w:p>
    <w:p w14:paraId="52DA8BBB" w14:textId="3AF05B72" w:rsidR="00C569D8" w:rsidRPr="00C569D8" w:rsidRDefault="00DC5146" w:rsidP="00C569D8">
      <w:pPr>
        <w:spacing w:after="0"/>
        <w:rPr>
          <w:rFonts w:ascii="Arial" w:hAnsi="Arial" w:cs="Arial"/>
          <w:sz w:val="20"/>
          <w:szCs w:val="20"/>
        </w:rPr>
      </w:pPr>
      <w:r w:rsidRPr="00DC5146">
        <w:rPr>
          <w:rFonts w:ascii="Arial" w:hAnsi="Arial" w:cs="Arial"/>
          <w:i/>
          <w:iCs/>
          <w:sz w:val="20"/>
          <w:szCs w:val="20"/>
        </w:rPr>
        <w:t>Limitations:</w:t>
      </w:r>
      <w:r>
        <w:rPr>
          <w:rFonts w:ascii="Arial" w:hAnsi="Arial" w:cs="Arial"/>
          <w:sz w:val="20"/>
          <w:szCs w:val="20"/>
        </w:rPr>
        <w:t xml:space="preserve"> </w:t>
      </w:r>
      <w:r w:rsidR="00C569D8" w:rsidRPr="00C569D8">
        <w:rPr>
          <w:rFonts w:ascii="Arial" w:hAnsi="Arial" w:cs="Arial"/>
          <w:sz w:val="20"/>
          <w:szCs w:val="20"/>
        </w:rPr>
        <w:t>Based on the available evidence reviewed, the projects in the sample did not include formal capacity assessments in line with the GPSA capacities or based on the 1-4 scale to rank them. Therefore</w:t>
      </w:r>
      <w:r>
        <w:rPr>
          <w:rFonts w:ascii="Arial" w:hAnsi="Arial" w:cs="Arial"/>
          <w:sz w:val="20"/>
          <w:szCs w:val="20"/>
        </w:rPr>
        <w:t>,</w:t>
      </w:r>
      <w:r w:rsidR="00C569D8" w:rsidRPr="00C569D8">
        <w:rPr>
          <w:rFonts w:ascii="Arial" w:hAnsi="Arial" w:cs="Arial"/>
          <w:sz w:val="20"/>
          <w:szCs w:val="20"/>
        </w:rPr>
        <w:t xml:space="preserve"> </w:t>
      </w:r>
      <w:r w:rsidR="00C569D8" w:rsidRPr="00C569D8">
        <w:rPr>
          <w:rFonts w:ascii="Arial" w:hAnsi="Arial" w:cs="Arial"/>
          <w:sz w:val="20"/>
          <w:szCs w:val="20"/>
        </w:rPr>
        <w:lastRenderedPageBreak/>
        <w:t xml:space="preserve">the values provided on the scale for this indicator for each project is based on the coder's review of key documents and specific references to capacity development across the trajectory of the project. </w:t>
      </w:r>
    </w:p>
    <w:p w14:paraId="252F66F1" w14:textId="77777777" w:rsidR="00C569D8" w:rsidRPr="00C569D8" w:rsidRDefault="00C569D8" w:rsidP="00C569D8">
      <w:pPr>
        <w:spacing w:after="0"/>
        <w:rPr>
          <w:rFonts w:ascii="Arial" w:hAnsi="Arial" w:cs="Arial"/>
          <w:sz w:val="20"/>
          <w:szCs w:val="20"/>
        </w:rPr>
      </w:pPr>
    </w:p>
    <w:p w14:paraId="0864CC3E" w14:textId="63A7CCD1" w:rsidR="008E384F" w:rsidRDefault="00C569D8" w:rsidP="00C569D8">
      <w:pPr>
        <w:spacing w:after="0"/>
        <w:rPr>
          <w:rFonts w:ascii="Arial" w:hAnsi="Arial" w:cs="Arial"/>
          <w:sz w:val="20"/>
          <w:szCs w:val="20"/>
        </w:rPr>
      </w:pPr>
      <w:r w:rsidRPr="00C569D8">
        <w:rPr>
          <w:rFonts w:ascii="Arial" w:hAnsi="Arial" w:cs="Arial"/>
          <w:sz w:val="20"/>
          <w:szCs w:val="20"/>
        </w:rPr>
        <w:t xml:space="preserve">In some </w:t>
      </w:r>
      <w:r w:rsidR="00772B25" w:rsidRPr="00C569D8">
        <w:rPr>
          <w:rFonts w:ascii="Arial" w:hAnsi="Arial" w:cs="Arial"/>
          <w:sz w:val="20"/>
          <w:szCs w:val="20"/>
        </w:rPr>
        <w:t>cases,</w:t>
      </w:r>
      <w:r w:rsidRPr="00C569D8">
        <w:rPr>
          <w:rFonts w:ascii="Arial" w:hAnsi="Arial" w:cs="Arial"/>
          <w:sz w:val="20"/>
          <w:szCs w:val="20"/>
        </w:rPr>
        <w:t xml:space="preserve"> the GPSA capacities for Collaborative Social Accountability were referenced specifically, in other cases, it was more general. </w:t>
      </w:r>
      <w:r w:rsidR="00772B25" w:rsidRPr="00C569D8">
        <w:rPr>
          <w:rFonts w:ascii="Arial" w:hAnsi="Arial" w:cs="Arial"/>
          <w:sz w:val="20"/>
          <w:szCs w:val="20"/>
        </w:rPr>
        <w:t>Therefore,</w:t>
      </w:r>
      <w:r w:rsidRPr="00C569D8">
        <w:rPr>
          <w:rFonts w:ascii="Arial" w:hAnsi="Arial" w:cs="Arial"/>
          <w:sz w:val="20"/>
          <w:szCs w:val="20"/>
        </w:rPr>
        <w:t xml:space="preserve"> the values provided on the scale must be interpreted with this limitation in mind.</w:t>
      </w:r>
      <w:r>
        <w:rPr>
          <w:rFonts w:ascii="Arial" w:hAnsi="Arial" w:cs="Arial"/>
          <w:sz w:val="20"/>
          <w:szCs w:val="20"/>
        </w:rPr>
        <w:t xml:space="preserve"> </w:t>
      </w:r>
    </w:p>
    <w:p w14:paraId="7251C88B" w14:textId="77777777" w:rsidR="00DC5146" w:rsidRDefault="00DC5146" w:rsidP="00DC5146">
      <w:pPr>
        <w:spacing w:after="0"/>
        <w:rPr>
          <w:rFonts w:ascii="Arial" w:hAnsi="Arial" w:cs="Arial"/>
          <w:b/>
          <w:bCs/>
          <w:sz w:val="20"/>
          <w:szCs w:val="20"/>
          <w:u w:val="single"/>
        </w:rPr>
      </w:pPr>
    </w:p>
    <w:p w14:paraId="3232223F" w14:textId="4D048DD1" w:rsidR="00DC5146" w:rsidRPr="00DC5146" w:rsidRDefault="00DC5146" w:rsidP="00DC5146">
      <w:pPr>
        <w:spacing w:after="0"/>
        <w:rPr>
          <w:rFonts w:ascii="Arial" w:hAnsi="Arial" w:cs="Arial"/>
          <w:b/>
          <w:bCs/>
          <w:sz w:val="20"/>
          <w:szCs w:val="20"/>
          <w:u w:val="single"/>
        </w:rPr>
      </w:pPr>
      <w:r w:rsidRPr="00DC5146">
        <w:rPr>
          <w:rFonts w:ascii="Arial" w:hAnsi="Arial" w:cs="Arial"/>
          <w:b/>
          <w:bCs/>
          <w:sz w:val="20"/>
          <w:szCs w:val="20"/>
          <w:u w:val="single"/>
        </w:rPr>
        <w:t>Outcome 1</w:t>
      </w:r>
      <w:r>
        <w:rPr>
          <w:rFonts w:ascii="Arial" w:hAnsi="Arial" w:cs="Arial"/>
          <w:b/>
          <w:bCs/>
          <w:sz w:val="20"/>
          <w:szCs w:val="20"/>
          <w:u w:val="single"/>
        </w:rPr>
        <w:t xml:space="preserve">b </w:t>
      </w:r>
      <w:r w:rsidRPr="00DC5146">
        <w:rPr>
          <w:rFonts w:ascii="Arial" w:hAnsi="Arial" w:cs="Arial"/>
          <w:b/>
          <w:bCs/>
          <w:sz w:val="20"/>
          <w:szCs w:val="20"/>
          <w:u w:val="single"/>
        </w:rPr>
        <w:t>indicator</w:t>
      </w:r>
    </w:p>
    <w:p w14:paraId="48588C00" w14:textId="77777777" w:rsidR="00DC5146" w:rsidRDefault="00DC5146" w:rsidP="00DC5146">
      <w:pPr>
        <w:spacing w:after="0"/>
        <w:rPr>
          <w:rFonts w:ascii="Arial" w:hAnsi="Arial" w:cs="Arial"/>
          <w:b/>
          <w:bCs/>
          <w:sz w:val="20"/>
          <w:szCs w:val="20"/>
        </w:rPr>
      </w:pPr>
    </w:p>
    <w:p w14:paraId="07FFAFEC" w14:textId="5BC20B9A" w:rsidR="00DC5146" w:rsidRDefault="00DC5146" w:rsidP="00DC5146">
      <w:pPr>
        <w:spacing w:after="0"/>
        <w:rPr>
          <w:rFonts w:ascii="Arial" w:hAnsi="Arial" w:cs="Arial"/>
          <w:sz w:val="20"/>
          <w:szCs w:val="20"/>
        </w:rPr>
      </w:pPr>
      <w:r w:rsidRPr="00DC5146">
        <w:rPr>
          <w:rFonts w:ascii="Arial" w:hAnsi="Arial" w:cs="Arial"/>
          <w:i/>
          <w:iCs/>
          <w:sz w:val="20"/>
          <w:szCs w:val="20"/>
        </w:rPr>
        <w:t>Overview:</w:t>
      </w:r>
      <w:r w:rsidRPr="00C569D8">
        <w:rPr>
          <w:rFonts w:ascii="Arial" w:hAnsi="Arial" w:cs="Arial"/>
          <w:sz w:val="20"/>
          <w:szCs w:val="20"/>
        </w:rPr>
        <w:t xml:space="preserve"> </w:t>
      </w:r>
      <w:proofErr w:type="gramStart"/>
      <w:r>
        <w:rPr>
          <w:rFonts w:ascii="Arial" w:hAnsi="Arial" w:cs="Arial"/>
          <w:sz w:val="20"/>
          <w:szCs w:val="20"/>
        </w:rPr>
        <w:t>All of</w:t>
      </w:r>
      <w:proofErr w:type="gramEnd"/>
      <w:r>
        <w:rPr>
          <w:rFonts w:ascii="Arial" w:hAnsi="Arial" w:cs="Arial"/>
          <w:sz w:val="20"/>
          <w:szCs w:val="20"/>
        </w:rPr>
        <w:t xml:space="preserve"> the projects the sample were coded as fulfilling this indicator criteria</w:t>
      </w:r>
      <w:r w:rsidR="008E0365">
        <w:rPr>
          <w:rFonts w:ascii="Arial" w:hAnsi="Arial" w:cs="Arial"/>
          <w:sz w:val="20"/>
          <w:szCs w:val="20"/>
        </w:rPr>
        <w:t>. Therefore,</w:t>
      </w:r>
      <w:r>
        <w:rPr>
          <w:rFonts w:ascii="Arial" w:hAnsi="Arial" w:cs="Arial"/>
          <w:sz w:val="20"/>
          <w:szCs w:val="20"/>
        </w:rPr>
        <w:t xml:space="preserve"> the aggregated value is 100%.</w:t>
      </w:r>
    </w:p>
    <w:p w14:paraId="3E43F002" w14:textId="2DA8B783" w:rsidR="008E0365" w:rsidRPr="008E0365" w:rsidRDefault="008E0365" w:rsidP="00DC5146">
      <w:pPr>
        <w:spacing w:after="0"/>
        <w:rPr>
          <w:rFonts w:ascii="Arial" w:hAnsi="Arial" w:cs="Arial"/>
          <w:sz w:val="20"/>
          <w:szCs w:val="20"/>
        </w:rPr>
      </w:pPr>
    </w:p>
    <w:p w14:paraId="2A68AD66" w14:textId="79F9D3DE" w:rsidR="00633BC3" w:rsidRPr="00633BC3" w:rsidRDefault="00633BC3" w:rsidP="00633BC3">
      <w:pPr>
        <w:spacing w:after="0"/>
        <w:rPr>
          <w:rFonts w:ascii="Arial" w:hAnsi="Arial" w:cs="Arial"/>
          <w:sz w:val="20"/>
          <w:szCs w:val="20"/>
        </w:rPr>
      </w:pPr>
      <w:r w:rsidRPr="00633BC3">
        <w:rPr>
          <w:rFonts w:ascii="Arial" w:hAnsi="Arial" w:cs="Arial"/>
          <w:sz w:val="20"/>
          <w:szCs w:val="20"/>
        </w:rPr>
        <w:t xml:space="preserve">A value of yes or no was the only unit of analysis for this indicator (as per the MERL Guide method). </w:t>
      </w:r>
      <w:r w:rsidR="00772B25" w:rsidRPr="00633BC3">
        <w:rPr>
          <w:rFonts w:ascii="Arial" w:hAnsi="Arial" w:cs="Arial"/>
          <w:sz w:val="20"/>
          <w:szCs w:val="20"/>
        </w:rPr>
        <w:t>Therefore,</w:t>
      </w:r>
      <w:r w:rsidRPr="00633BC3">
        <w:rPr>
          <w:rFonts w:ascii="Arial" w:hAnsi="Arial" w:cs="Arial"/>
          <w:sz w:val="20"/>
          <w:szCs w:val="20"/>
        </w:rPr>
        <w:t xml:space="preserve"> there is no capacity assessment ranking as part of this indicator. </w:t>
      </w:r>
    </w:p>
    <w:p w14:paraId="0CD0FB26" w14:textId="77777777" w:rsidR="00633BC3" w:rsidRPr="00633BC3" w:rsidRDefault="00633BC3" w:rsidP="00633BC3">
      <w:pPr>
        <w:spacing w:after="0"/>
        <w:rPr>
          <w:rFonts w:ascii="Arial" w:hAnsi="Arial" w:cs="Arial"/>
          <w:sz w:val="20"/>
          <w:szCs w:val="20"/>
        </w:rPr>
      </w:pPr>
    </w:p>
    <w:p w14:paraId="483F9328" w14:textId="77777777" w:rsidR="00633BC3" w:rsidRPr="00633BC3" w:rsidRDefault="00633BC3" w:rsidP="00633BC3">
      <w:pPr>
        <w:spacing w:after="0"/>
        <w:rPr>
          <w:rFonts w:ascii="Arial" w:hAnsi="Arial" w:cs="Arial"/>
          <w:sz w:val="20"/>
          <w:szCs w:val="20"/>
        </w:rPr>
      </w:pPr>
      <w:r w:rsidRPr="00633BC3">
        <w:rPr>
          <w:rFonts w:ascii="Arial" w:hAnsi="Arial" w:cs="Arial"/>
          <w:sz w:val="20"/>
          <w:szCs w:val="20"/>
        </w:rPr>
        <w:t>The coder used the available documentary evidence for each project to find examples for capacity improvement of different key stakeholder groups engaged in the CSA of the project: citizens, CSOs and public institutions across the trajectory of the project. Specific examples and quotes are provided in each of the project coding files with sources and page numbers.</w:t>
      </w:r>
    </w:p>
    <w:p w14:paraId="15B3C0F6" w14:textId="77777777" w:rsidR="00633BC3" w:rsidRDefault="00633BC3" w:rsidP="00633BC3">
      <w:pPr>
        <w:spacing w:after="0"/>
        <w:rPr>
          <w:rFonts w:ascii="Arial" w:hAnsi="Arial" w:cs="Arial"/>
          <w:sz w:val="20"/>
          <w:szCs w:val="20"/>
        </w:rPr>
      </w:pPr>
    </w:p>
    <w:p w14:paraId="4BF6B2DB" w14:textId="440F3010" w:rsidR="00633BC3" w:rsidRPr="00633BC3" w:rsidRDefault="008E0365" w:rsidP="00633BC3">
      <w:pPr>
        <w:spacing w:after="0"/>
        <w:rPr>
          <w:rFonts w:ascii="Arial" w:hAnsi="Arial" w:cs="Arial"/>
          <w:sz w:val="20"/>
          <w:szCs w:val="20"/>
        </w:rPr>
      </w:pPr>
      <w:r w:rsidRPr="00DC5146">
        <w:rPr>
          <w:rFonts w:ascii="Arial" w:hAnsi="Arial" w:cs="Arial"/>
          <w:i/>
          <w:iCs/>
          <w:sz w:val="20"/>
          <w:szCs w:val="20"/>
        </w:rPr>
        <w:t>Limitations:</w:t>
      </w:r>
      <w:r>
        <w:rPr>
          <w:rFonts w:ascii="Arial" w:hAnsi="Arial" w:cs="Arial"/>
          <w:sz w:val="20"/>
          <w:szCs w:val="20"/>
        </w:rPr>
        <w:t xml:space="preserve"> </w:t>
      </w:r>
      <w:r w:rsidR="00633BC3" w:rsidRPr="00633BC3">
        <w:rPr>
          <w:rFonts w:ascii="Arial" w:hAnsi="Arial" w:cs="Arial"/>
          <w:sz w:val="20"/>
          <w:szCs w:val="20"/>
        </w:rPr>
        <w:t>It is important to consider that the available documentary evidence for projects did not generally go into the level of detail necessary to determine with precision the capacity developed for each stakeholder across every project site. Nor did they use all the GPSA specific capacities. However, in many cases there were references to these capacities and the coder made the judgement to assign a yes based on projects having:</w:t>
      </w:r>
    </w:p>
    <w:p w14:paraId="37F99C0B" w14:textId="11AF7B58" w:rsidR="002B2BF8" w:rsidRDefault="00AC440F" w:rsidP="00633BC3">
      <w:pPr>
        <w:pStyle w:val="ListParagraph"/>
        <w:numPr>
          <w:ilvl w:val="0"/>
          <w:numId w:val="19"/>
        </w:numPr>
        <w:spacing w:after="0"/>
        <w:rPr>
          <w:rFonts w:ascii="Arial" w:hAnsi="Arial" w:cs="Arial"/>
          <w:sz w:val="20"/>
          <w:szCs w:val="20"/>
        </w:rPr>
      </w:pPr>
      <w:r>
        <w:rPr>
          <w:rFonts w:ascii="Arial" w:hAnsi="Arial" w:cs="Arial"/>
          <w:sz w:val="20"/>
          <w:szCs w:val="20"/>
        </w:rPr>
        <w:t>S</w:t>
      </w:r>
      <w:r w:rsidR="00633BC3" w:rsidRPr="002B2BF8">
        <w:rPr>
          <w:rFonts w:ascii="Arial" w:hAnsi="Arial" w:cs="Arial"/>
          <w:sz w:val="20"/>
          <w:szCs w:val="20"/>
        </w:rPr>
        <w:t xml:space="preserve">ample examples from </w:t>
      </w:r>
      <w:proofErr w:type="gramStart"/>
      <w:r w:rsidR="00633BC3" w:rsidRPr="002B2BF8">
        <w:rPr>
          <w:rFonts w:ascii="Arial" w:hAnsi="Arial" w:cs="Arial"/>
          <w:sz w:val="20"/>
          <w:szCs w:val="20"/>
        </w:rPr>
        <w:t>several of</w:t>
      </w:r>
      <w:proofErr w:type="gramEnd"/>
      <w:r w:rsidR="00633BC3" w:rsidRPr="002B2BF8">
        <w:rPr>
          <w:rFonts w:ascii="Arial" w:hAnsi="Arial" w:cs="Arial"/>
          <w:sz w:val="20"/>
          <w:szCs w:val="20"/>
        </w:rPr>
        <w:t xml:space="preserve"> the source documents that spanned across the different stakeholder groups, </w:t>
      </w:r>
      <w:r w:rsidR="00772B25" w:rsidRPr="002B2BF8">
        <w:rPr>
          <w:rFonts w:ascii="Arial" w:hAnsi="Arial" w:cs="Arial"/>
          <w:sz w:val="20"/>
          <w:szCs w:val="20"/>
        </w:rPr>
        <w:t>and</w:t>
      </w:r>
      <w:r w:rsidR="00772B25">
        <w:rPr>
          <w:rFonts w:ascii="Arial" w:hAnsi="Arial" w:cs="Arial"/>
          <w:sz w:val="20"/>
          <w:szCs w:val="20"/>
        </w:rPr>
        <w:t>.</w:t>
      </w:r>
    </w:p>
    <w:p w14:paraId="58F9DBA7" w14:textId="523C246C" w:rsidR="00633BC3" w:rsidRPr="002B2BF8" w:rsidRDefault="00AC440F" w:rsidP="00633BC3">
      <w:pPr>
        <w:pStyle w:val="ListParagraph"/>
        <w:numPr>
          <w:ilvl w:val="0"/>
          <w:numId w:val="19"/>
        </w:numPr>
        <w:spacing w:after="0"/>
        <w:rPr>
          <w:rFonts w:ascii="Arial" w:hAnsi="Arial" w:cs="Arial"/>
          <w:sz w:val="20"/>
          <w:szCs w:val="20"/>
        </w:rPr>
      </w:pPr>
      <w:r>
        <w:rPr>
          <w:rFonts w:ascii="Arial" w:hAnsi="Arial" w:cs="Arial"/>
          <w:sz w:val="20"/>
          <w:szCs w:val="20"/>
        </w:rPr>
        <w:t>E</w:t>
      </w:r>
      <w:r w:rsidR="00633BC3" w:rsidRPr="002B2BF8">
        <w:rPr>
          <w:rFonts w:ascii="Arial" w:hAnsi="Arial" w:cs="Arial"/>
          <w:sz w:val="20"/>
          <w:szCs w:val="20"/>
        </w:rPr>
        <w:t xml:space="preserve">vidence that capacity development was </w:t>
      </w:r>
      <w:proofErr w:type="gramStart"/>
      <w:r w:rsidR="00633BC3" w:rsidRPr="002B2BF8">
        <w:rPr>
          <w:rFonts w:ascii="Arial" w:hAnsi="Arial" w:cs="Arial"/>
          <w:sz w:val="20"/>
          <w:szCs w:val="20"/>
        </w:rPr>
        <w:t>being done</w:t>
      </w:r>
      <w:proofErr w:type="gramEnd"/>
      <w:r w:rsidR="00633BC3" w:rsidRPr="002B2BF8">
        <w:rPr>
          <w:rFonts w:ascii="Arial" w:hAnsi="Arial" w:cs="Arial"/>
          <w:sz w:val="20"/>
          <w:szCs w:val="20"/>
        </w:rPr>
        <w:t xml:space="preserve"> throughout the trajectory of the project.</w:t>
      </w:r>
    </w:p>
    <w:p w14:paraId="0AF224AE" w14:textId="046C7CD9" w:rsidR="008E0365" w:rsidRDefault="00633BC3" w:rsidP="00633BC3">
      <w:pPr>
        <w:spacing w:after="0"/>
        <w:rPr>
          <w:rFonts w:ascii="Arial" w:hAnsi="Arial" w:cs="Arial"/>
          <w:sz w:val="20"/>
          <w:szCs w:val="20"/>
        </w:rPr>
      </w:pPr>
      <w:r w:rsidRPr="00633BC3">
        <w:rPr>
          <w:rFonts w:ascii="Arial" w:hAnsi="Arial" w:cs="Arial"/>
          <w:sz w:val="20"/>
          <w:szCs w:val="20"/>
        </w:rPr>
        <w:t>Where available, the midterm and final evaluations were also key evidence for capacity development as independent sources. Many of the evaluations reviewed noted capacity development of these stakeholders as key results of the projects in the sample.</w:t>
      </w:r>
    </w:p>
    <w:p w14:paraId="44F0F5C7" w14:textId="77777777" w:rsidR="008E0365" w:rsidRPr="008E0365" w:rsidRDefault="008E0365" w:rsidP="008E0365">
      <w:pPr>
        <w:spacing w:after="0"/>
        <w:rPr>
          <w:rFonts w:ascii="Arial" w:hAnsi="Arial" w:cs="Arial"/>
          <w:sz w:val="20"/>
          <w:szCs w:val="20"/>
        </w:rPr>
      </w:pPr>
    </w:p>
    <w:p w14:paraId="691B7CF7" w14:textId="79279778" w:rsidR="008E0365" w:rsidRPr="00DC5146" w:rsidRDefault="008E0365" w:rsidP="008E0365">
      <w:pPr>
        <w:spacing w:after="0"/>
        <w:rPr>
          <w:rFonts w:ascii="Arial" w:hAnsi="Arial" w:cs="Arial"/>
          <w:b/>
          <w:bCs/>
          <w:sz w:val="20"/>
          <w:szCs w:val="20"/>
          <w:u w:val="single"/>
        </w:rPr>
      </w:pPr>
      <w:r w:rsidRPr="00DC5146">
        <w:rPr>
          <w:rFonts w:ascii="Arial" w:hAnsi="Arial" w:cs="Arial"/>
          <w:b/>
          <w:bCs/>
          <w:sz w:val="20"/>
          <w:szCs w:val="20"/>
          <w:u w:val="single"/>
        </w:rPr>
        <w:t>Outcome 1</w:t>
      </w:r>
      <w:r>
        <w:rPr>
          <w:rFonts w:ascii="Arial" w:hAnsi="Arial" w:cs="Arial"/>
          <w:b/>
          <w:bCs/>
          <w:sz w:val="20"/>
          <w:szCs w:val="20"/>
          <w:u w:val="single"/>
        </w:rPr>
        <w:t xml:space="preserve">c </w:t>
      </w:r>
      <w:r w:rsidRPr="00DC5146">
        <w:rPr>
          <w:rFonts w:ascii="Arial" w:hAnsi="Arial" w:cs="Arial"/>
          <w:b/>
          <w:bCs/>
          <w:sz w:val="20"/>
          <w:szCs w:val="20"/>
          <w:u w:val="single"/>
        </w:rPr>
        <w:t>indicator</w:t>
      </w:r>
    </w:p>
    <w:p w14:paraId="3C94E62C" w14:textId="77777777" w:rsidR="008E0365" w:rsidRDefault="008E0365" w:rsidP="00DC5146">
      <w:pPr>
        <w:spacing w:after="0"/>
        <w:rPr>
          <w:rFonts w:ascii="Arial" w:hAnsi="Arial" w:cs="Arial"/>
          <w:sz w:val="20"/>
          <w:szCs w:val="20"/>
        </w:rPr>
      </w:pPr>
    </w:p>
    <w:p w14:paraId="41FA5C3F" w14:textId="774903F3" w:rsidR="008E0365" w:rsidRDefault="008E0365" w:rsidP="008E0365">
      <w:pPr>
        <w:spacing w:after="0"/>
        <w:rPr>
          <w:rFonts w:ascii="Arial" w:hAnsi="Arial" w:cs="Arial"/>
          <w:sz w:val="20"/>
          <w:szCs w:val="20"/>
        </w:rPr>
      </w:pPr>
      <w:r w:rsidRPr="00DC5146">
        <w:rPr>
          <w:rFonts w:ascii="Arial" w:hAnsi="Arial" w:cs="Arial"/>
          <w:i/>
          <w:iCs/>
          <w:sz w:val="20"/>
          <w:szCs w:val="20"/>
        </w:rPr>
        <w:t>Overview:</w:t>
      </w:r>
      <w:r w:rsidRPr="00C569D8">
        <w:rPr>
          <w:rFonts w:ascii="Arial" w:hAnsi="Arial" w:cs="Arial"/>
          <w:sz w:val="20"/>
          <w:szCs w:val="20"/>
        </w:rPr>
        <w:t xml:space="preserve"> </w:t>
      </w:r>
      <w:proofErr w:type="gramStart"/>
      <w:r>
        <w:rPr>
          <w:rFonts w:ascii="Arial" w:hAnsi="Arial" w:cs="Arial"/>
          <w:sz w:val="20"/>
          <w:szCs w:val="20"/>
        </w:rPr>
        <w:t>All of</w:t>
      </w:r>
      <w:proofErr w:type="gramEnd"/>
      <w:r>
        <w:rPr>
          <w:rFonts w:ascii="Arial" w:hAnsi="Arial" w:cs="Arial"/>
          <w:sz w:val="20"/>
          <w:szCs w:val="20"/>
        </w:rPr>
        <w:t xml:space="preserve"> the projects the sample were coded as fulfilling this indicator criteria. Therefore, the aggregated value is 100%.</w:t>
      </w:r>
    </w:p>
    <w:p w14:paraId="47296C33" w14:textId="1B28C229" w:rsidR="008E0365" w:rsidRDefault="008E0365" w:rsidP="008E0365">
      <w:pPr>
        <w:spacing w:after="0"/>
        <w:rPr>
          <w:rFonts w:ascii="Arial" w:hAnsi="Arial" w:cs="Arial"/>
          <w:sz w:val="20"/>
          <w:szCs w:val="20"/>
        </w:rPr>
      </w:pPr>
    </w:p>
    <w:p w14:paraId="105A7C21" w14:textId="0D81A5C4" w:rsidR="00633BC3" w:rsidRPr="00633BC3" w:rsidRDefault="00633BC3" w:rsidP="00633BC3">
      <w:pPr>
        <w:spacing w:after="0"/>
        <w:rPr>
          <w:rFonts w:ascii="Arial" w:hAnsi="Arial" w:cs="Arial"/>
          <w:sz w:val="20"/>
          <w:szCs w:val="20"/>
        </w:rPr>
      </w:pPr>
      <w:r w:rsidRPr="00633BC3">
        <w:rPr>
          <w:rFonts w:ascii="Arial" w:hAnsi="Arial" w:cs="Arial"/>
          <w:sz w:val="20"/>
          <w:szCs w:val="20"/>
        </w:rPr>
        <w:t xml:space="preserve">A value of yes or no was the only unit of analysis possible to code for this indicator for all the projects in the sample based on the available documentary evidence. In some </w:t>
      </w:r>
      <w:r w:rsidR="00772B25" w:rsidRPr="00633BC3">
        <w:rPr>
          <w:rFonts w:ascii="Arial" w:hAnsi="Arial" w:cs="Arial"/>
          <w:sz w:val="20"/>
          <w:szCs w:val="20"/>
        </w:rPr>
        <w:t>cases,</w:t>
      </w:r>
      <w:r w:rsidRPr="00633BC3">
        <w:rPr>
          <w:rFonts w:ascii="Arial" w:hAnsi="Arial" w:cs="Arial"/>
          <w:sz w:val="20"/>
          <w:szCs w:val="20"/>
        </w:rPr>
        <w:t xml:space="preserve"> it was possible to provide the corrective measures % as the documents provided enough detail to do so.</w:t>
      </w:r>
    </w:p>
    <w:p w14:paraId="7A58BD13" w14:textId="77777777" w:rsidR="00633BC3" w:rsidRPr="00633BC3" w:rsidRDefault="00633BC3" w:rsidP="00633BC3">
      <w:pPr>
        <w:spacing w:after="0"/>
        <w:rPr>
          <w:rFonts w:ascii="Arial" w:hAnsi="Arial" w:cs="Arial"/>
          <w:sz w:val="20"/>
          <w:szCs w:val="20"/>
        </w:rPr>
      </w:pPr>
    </w:p>
    <w:p w14:paraId="395A7FDC" w14:textId="1863F539" w:rsidR="00633BC3" w:rsidRPr="00633BC3" w:rsidRDefault="00633BC3" w:rsidP="00633BC3">
      <w:pPr>
        <w:spacing w:after="0"/>
        <w:rPr>
          <w:rFonts w:ascii="Arial" w:hAnsi="Arial" w:cs="Arial"/>
          <w:sz w:val="20"/>
          <w:szCs w:val="20"/>
        </w:rPr>
      </w:pPr>
      <w:r w:rsidRPr="00633BC3">
        <w:rPr>
          <w:rFonts w:ascii="Arial" w:hAnsi="Arial" w:cs="Arial"/>
          <w:sz w:val="20"/>
          <w:szCs w:val="20"/>
        </w:rPr>
        <w:t xml:space="preserve">The coder used the available documentary evidence for each project to find examples of specific corrective measures taken by public institutions based on the project's CSA processes and direct feedback to public </w:t>
      </w:r>
      <w:r w:rsidR="002F74B4" w:rsidRPr="00633BC3">
        <w:rPr>
          <w:rFonts w:ascii="Arial" w:hAnsi="Arial" w:cs="Arial"/>
          <w:sz w:val="20"/>
          <w:szCs w:val="20"/>
        </w:rPr>
        <w:t>institutions</w:t>
      </w:r>
      <w:r w:rsidRPr="00633BC3">
        <w:rPr>
          <w:rFonts w:ascii="Arial" w:hAnsi="Arial" w:cs="Arial"/>
          <w:sz w:val="20"/>
          <w:szCs w:val="20"/>
        </w:rPr>
        <w:t xml:space="preserve"> for improvement of service delivery in the given sector(s) and locations across the trajectory of the project. Specific examples and quotes are provided in each of the project coding files with sources and page numbers.</w:t>
      </w:r>
    </w:p>
    <w:p w14:paraId="5FE7DB6F" w14:textId="77777777" w:rsidR="00633BC3" w:rsidRPr="00633BC3" w:rsidRDefault="00633BC3" w:rsidP="00633BC3">
      <w:pPr>
        <w:spacing w:after="0"/>
        <w:rPr>
          <w:rFonts w:ascii="Arial" w:hAnsi="Arial" w:cs="Arial"/>
          <w:sz w:val="20"/>
          <w:szCs w:val="20"/>
        </w:rPr>
      </w:pPr>
    </w:p>
    <w:p w14:paraId="05AD6C60" w14:textId="089D857D" w:rsidR="008E0365" w:rsidRDefault="00633BC3" w:rsidP="00633BC3">
      <w:pPr>
        <w:spacing w:after="0"/>
        <w:rPr>
          <w:rFonts w:ascii="Arial" w:hAnsi="Arial" w:cs="Arial"/>
          <w:sz w:val="20"/>
          <w:szCs w:val="20"/>
        </w:rPr>
      </w:pPr>
      <w:r w:rsidRPr="00633BC3">
        <w:rPr>
          <w:rFonts w:ascii="Arial" w:hAnsi="Arial" w:cs="Arial"/>
          <w:sz w:val="20"/>
          <w:szCs w:val="20"/>
        </w:rPr>
        <w:t xml:space="preserve">As all projects met the criteria across the full sample, an aggregate value of 100% was provided. In cases where a </w:t>
      </w:r>
      <w:r w:rsidR="00073B58">
        <w:rPr>
          <w:rFonts w:ascii="Arial" w:hAnsi="Arial" w:cs="Arial"/>
          <w:sz w:val="20"/>
          <w:szCs w:val="20"/>
        </w:rPr>
        <w:t>percentage</w:t>
      </w:r>
      <w:r w:rsidRPr="00633BC3">
        <w:rPr>
          <w:rFonts w:ascii="Arial" w:hAnsi="Arial" w:cs="Arial"/>
          <w:sz w:val="20"/>
          <w:szCs w:val="20"/>
        </w:rPr>
        <w:t xml:space="preserve"> of corrective measures could be assessed based on the evidence, this was also provided. See individual project pages for more details on how these values were determined.</w:t>
      </w:r>
    </w:p>
    <w:p w14:paraId="7BC4A4FC" w14:textId="362CE1F0" w:rsidR="008E0365" w:rsidRDefault="008E0365" w:rsidP="00DC5146">
      <w:pPr>
        <w:spacing w:after="0"/>
        <w:rPr>
          <w:rFonts w:ascii="Arial" w:hAnsi="Arial" w:cs="Arial"/>
          <w:sz w:val="20"/>
          <w:szCs w:val="20"/>
        </w:rPr>
      </w:pPr>
    </w:p>
    <w:p w14:paraId="72E476DF" w14:textId="12F0FEEB" w:rsidR="00633BC3" w:rsidRDefault="00633BC3" w:rsidP="00DC5146">
      <w:pPr>
        <w:spacing w:after="0"/>
        <w:rPr>
          <w:rFonts w:ascii="Arial" w:hAnsi="Arial" w:cs="Arial"/>
          <w:sz w:val="20"/>
          <w:szCs w:val="20"/>
        </w:rPr>
      </w:pPr>
      <w:r w:rsidRPr="00633BC3">
        <w:rPr>
          <w:rFonts w:ascii="Arial" w:hAnsi="Arial" w:cs="Arial"/>
          <w:i/>
          <w:iCs/>
          <w:sz w:val="20"/>
          <w:szCs w:val="20"/>
        </w:rPr>
        <w:lastRenderedPageBreak/>
        <w:t>Limitations:</w:t>
      </w:r>
      <w:r>
        <w:rPr>
          <w:rFonts w:ascii="Arial" w:hAnsi="Arial" w:cs="Arial"/>
          <w:sz w:val="20"/>
          <w:szCs w:val="20"/>
        </w:rPr>
        <w:t xml:space="preserve"> </w:t>
      </w:r>
      <w:r w:rsidRPr="00633BC3">
        <w:rPr>
          <w:rFonts w:ascii="Arial" w:hAnsi="Arial" w:cs="Arial"/>
          <w:sz w:val="20"/>
          <w:szCs w:val="20"/>
        </w:rPr>
        <w:t xml:space="preserve">For the projects that were assigned specific % for corrective measures, this was based on percentages provided in the documentary evidence. In some cases, the coder needed to gauge and make an assessment. For example, if there were multiple percentages or differing ways of calculating them across the documents in a project compared to the GPSA MERL Guide method that should be used in future. While some final evaluations provided percentages and were a more reliable source, some are self reported by the grant partners. It was not possible to verify how percentages were calculated and the coder did not have access to raw data. </w:t>
      </w:r>
      <w:r w:rsidR="00772B25" w:rsidRPr="00633BC3">
        <w:rPr>
          <w:rFonts w:ascii="Arial" w:hAnsi="Arial" w:cs="Arial"/>
          <w:sz w:val="20"/>
          <w:szCs w:val="20"/>
        </w:rPr>
        <w:t>Therefore,</w:t>
      </w:r>
      <w:r w:rsidRPr="00633BC3">
        <w:rPr>
          <w:rFonts w:ascii="Arial" w:hAnsi="Arial" w:cs="Arial"/>
          <w:sz w:val="20"/>
          <w:szCs w:val="20"/>
        </w:rPr>
        <w:t xml:space="preserve"> the percentages provided should be taken as approximate and not exact.</w:t>
      </w:r>
    </w:p>
    <w:p w14:paraId="56631539" w14:textId="77777777" w:rsidR="00DC5146" w:rsidRDefault="00DC5146" w:rsidP="00DC5146">
      <w:pPr>
        <w:spacing w:after="0"/>
        <w:rPr>
          <w:rFonts w:ascii="Arial" w:hAnsi="Arial" w:cs="Arial"/>
          <w:b/>
          <w:bCs/>
          <w:sz w:val="20"/>
          <w:szCs w:val="20"/>
          <w:u w:val="single"/>
        </w:rPr>
      </w:pPr>
    </w:p>
    <w:p w14:paraId="77F564AE" w14:textId="46877A13" w:rsidR="00DC5146" w:rsidRPr="00DC5146" w:rsidRDefault="00DC5146" w:rsidP="00DC5146">
      <w:pPr>
        <w:spacing w:after="0"/>
        <w:rPr>
          <w:rFonts w:ascii="Arial" w:hAnsi="Arial" w:cs="Arial"/>
          <w:b/>
          <w:bCs/>
          <w:sz w:val="20"/>
          <w:szCs w:val="20"/>
          <w:u w:val="single"/>
        </w:rPr>
      </w:pPr>
      <w:r w:rsidRPr="00DC5146">
        <w:rPr>
          <w:rFonts w:ascii="Arial" w:hAnsi="Arial" w:cs="Arial"/>
          <w:b/>
          <w:bCs/>
          <w:sz w:val="20"/>
          <w:szCs w:val="20"/>
          <w:u w:val="single"/>
        </w:rPr>
        <w:t xml:space="preserve">Outcome </w:t>
      </w:r>
      <w:r>
        <w:rPr>
          <w:rFonts w:ascii="Arial" w:hAnsi="Arial" w:cs="Arial"/>
          <w:b/>
          <w:bCs/>
          <w:sz w:val="20"/>
          <w:szCs w:val="20"/>
          <w:u w:val="single"/>
        </w:rPr>
        <w:t>2</w:t>
      </w:r>
      <w:r w:rsidRPr="00DC5146">
        <w:rPr>
          <w:rFonts w:ascii="Arial" w:hAnsi="Arial" w:cs="Arial"/>
          <w:b/>
          <w:bCs/>
          <w:sz w:val="20"/>
          <w:szCs w:val="20"/>
          <w:u w:val="single"/>
        </w:rPr>
        <w:t xml:space="preserve"> indicator</w:t>
      </w:r>
    </w:p>
    <w:p w14:paraId="38CE25C4" w14:textId="77777777" w:rsidR="00DC5146" w:rsidRDefault="00DC5146" w:rsidP="003157E4">
      <w:pPr>
        <w:spacing w:after="0"/>
        <w:rPr>
          <w:rFonts w:ascii="Arial" w:hAnsi="Arial" w:cs="Arial"/>
          <w:sz w:val="20"/>
          <w:szCs w:val="20"/>
        </w:rPr>
      </w:pPr>
    </w:p>
    <w:p w14:paraId="0A99D9D9" w14:textId="25BA31C3" w:rsidR="002B2BF8" w:rsidRDefault="00DC5146" w:rsidP="002B2BF8">
      <w:pPr>
        <w:spacing w:after="0"/>
        <w:rPr>
          <w:rFonts w:ascii="Arial" w:hAnsi="Arial" w:cs="Arial"/>
          <w:sz w:val="20"/>
          <w:szCs w:val="20"/>
        </w:rPr>
      </w:pPr>
      <w:r w:rsidRPr="00DC5146">
        <w:rPr>
          <w:rFonts w:ascii="Arial" w:hAnsi="Arial" w:cs="Arial"/>
          <w:i/>
          <w:iCs/>
          <w:sz w:val="20"/>
          <w:szCs w:val="20"/>
        </w:rPr>
        <w:t>Overview:</w:t>
      </w:r>
      <w:r w:rsidRPr="00C569D8">
        <w:rPr>
          <w:rFonts w:ascii="Arial" w:hAnsi="Arial" w:cs="Arial"/>
          <w:sz w:val="20"/>
          <w:szCs w:val="20"/>
        </w:rPr>
        <w:t xml:space="preserve"> </w:t>
      </w:r>
      <w:r w:rsidR="002B2BF8">
        <w:rPr>
          <w:rFonts w:ascii="Arial" w:hAnsi="Arial" w:cs="Arial"/>
          <w:sz w:val="20"/>
          <w:szCs w:val="20"/>
        </w:rPr>
        <w:t xml:space="preserve"> </w:t>
      </w:r>
      <w:r w:rsidR="002B2BF8" w:rsidRPr="002B2BF8">
        <w:rPr>
          <w:rFonts w:ascii="Arial" w:hAnsi="Arial" w:cs="Arial"/>
          <w:sz w:val="20"/>
          <w:szCs w:val="20"/>
        </w:rPr>
        <w:t>As all projects met the criteria across the full sample, an aggregate value of 100% was provided.</w:t>
      </w:r>
    </w:p>
    <w:p w14:paraId="7E0153D2" w14:textId="4B4713D3" w:rsidR="002B2BF8" w:rsidRDefault="002B2BF8" w:rsidP="003157E4">
      <w:pPr>
        <w:spacing w:after="0"/>
        <w:rPr>
          <w:rFonts w:ascii="Arial" w:hAnsi="Arial" w:cs="Arial"/>
          <w:sz w:val="20"/>
          <w:szCs w:val="20"/>
        </w:rPr>
      </w:pPr>
    </w:p>
    <w:p w14:paraId="11F6B73D" w14:textId="684E34E6" w:rsidR="002B2BF8" w:rsidRPr="002B2BF8" w:rsidRDefault="002B2BF8" w:rsidP="002B2BF8">
      <w:pPr>
        <w:spacing w:after="0"/>
        <w:rPr>
          <w:rFonts w:ascii="Arial" w:hAnsi="Arial" w:cs="Arial"/>
          <w:sz w:val="20"/>
          <w:szCs w:val="20"/>
        </w:rPr>
      </w:pPr>
      <w:r>
        <w:rPr>
          <w:rFonts w:ascii="Arial" w:hAnsi="Arial" w:cs="Arial"/>
          <w:sz w:val="20"/>
          <w:szCs w:val="20"/>
        </w:rPr>
        <w:t>T</w:t>
      </w:r>
      <w:r w:rsidRPr="002B2BF8">
        <w:rPr>
          <w:rFonts w:ascii="Arial" w:hAnsi="Arial" w:cs="Arial"/>
          <w:sz w:val="20"/>
          <w:szCs w:val="20"/>
        </w:rPr>
        <w:t xml:space="preserve">his was a Yes/No unit of analysis; </w:t>
      </w:r>
      <w:r w:rsidR="00772B25" w:rsidRPr="002B2BF8">
        <w:rPr>
          <w:rFonts w:ascii="Arial" w:hAnsi="Arial" w:cs="Arial"/>
          <w:sz w:val="20"/>
          <w:szCs w:val="20"/>
        </w:rPr>
        <w:t>however,</w:t>
      </w:r>
      <w:r w:rsidRPr="002B2BF8">
        <w:rPr>
          <w:rFonts w:ascii="Arial" w:hAnsi="Arial" w:cs="Arial"/>
          <w:sz w:val="20"/>
          <w:szCs w:val="20"/>
        </w:rPr>
        <w:t xml:space="preserve"> it sought to assess if the targeting took place across all project sites. In 1 case, the review indicated that evidence was not available to determine this in detail </w:t>
      </w:r>
      <w:r w:rsidR="00772B25" w:rsidRPr="002B2BF8">
        <w:rPr>
          <w:rFonts w:ascii="Arial" w:hAnsi="Arial" w:cs="Arial"/>
          <w:sz w:val="20"/>
          <w:szCs w:val="20"/>
        </w:rPr>
        <w:t>(CIRD</w:t>
      </w:r>
      <w:r w:rsidRPr="002B2BF8">
        <w:rPr>
          <w:rFonts w:ascii="Arial" w:hAnsi="Arial" w:cs="Arial"/>
          <w:sz w:val="20"/>
          <w:szCs w:val="20"/>
        </w:rPr>
        <w:t xml:space="preserve"> Paraguay). </w:t>
      </w:r>
      <w:r w:rsidR="00772B25" w:rsidRPr="002B2BF8">
        <w:rPr>
          <w:rFonts w:ascii="Arial" w:hAnsi="Arial" w:cs="Arial"/>
          <w:sz w:val="20"/>
          <w:szCs w:val="20"/>
        </w:rPr>
        <w:t>However,</w:t>
      </w:r>
      <w:r w:rsidRPr="002B2BF8">
        <w:rPr>
          <w:rFonts w:ascii="Arial" w:hAnsi="Arial" w:cs="Arial"/>
          <w:sz w:val="20"/>
          <w:szCs w:val="20"/>
        </w:rPr>
        <w:t xml:space="preserve"> this does not mean that in all other projects, this outcome indicator was completely </w:t>
      </w:r>
      <w:r w:rsidR="002F74B4" w:rsidRPr="002B2BF8">
        <w:rPr>
          <w:rFonts w:ascii="Arial" w:hAnsi="Arial" w:cs="Arial"/>
          <w:sz w:val="20"/>
          <w:szCs w:val="20"/>
        </w:rPr>
        <w:t>fulfilled</w:t>
      </w:r>
      <w:r w:rsidRPr="002B2BF8">
        <w:rPr>
          <w:rFonts w:ascii="Arial" w:hAnsi="Arial" w:cs="Arial"/>
          <w:sz w:val="20"/>
          <w:szCs w:val="20"/>
        </w:rPr>
        <w:t xml:space="preserve"> across all the sites</w:t>
      </w:r>
      <w:r w:rsidR="00AC440F">
        <w:rPr>
          <w:rFonts w:ascii="Arial" w:hAnsi="Arial" w:cs="Arial"/>
          <w:sz w:val="20"/>
          <w:szCs w:val="20"/>
        </w:rPr>
        <w:t xml:space="preserve"> (nor would the GPSA expectation be for 100% achievement).</w:t>
      </w:r>
      <w:r w:rsidRPr="002B2BF8">
        <w:rPr>
          <w:rFonts w:ascii="Arial" w:hAnsi="Arial" w:cs="Arial"/>
          <w:sz w:val="20"/>
          <w:szCs w:val="20"/>
        </w:rPr>
        <w:t xml:space="preserve"> </w:t>
      </w:r>
    </w:p>
    <w:p w14:paraId="40E04812" w14:textId="77777777" w:rsidR="002B2BF8" w:rsidRPr="002B2BF8" w:rsidRDefault="002B2BF8" w:rsidP="002B2BF8">
      <w:pPr>
        <w:spacing w:after="0"/>
        <w:rPr>
          <w:rFonts w:ascii="Arial" w:hAnsi="Arial" w:cs="Arial"/>
          <w:sz w:val="20"/>
          <w:szCs w:val="20"/>
        </w:rPr>
      </w:pPr>
    </w:p>
    <w:p w14:paraId="7739BB1E" w14:textId="46BE257A" w:rsidR="002B2BF8" w:rsidRDefault="002B2BF8" w:rsidP="002B2BF8">
      <w:pPr>
        <w:spacing w:after="0"/>
        <w:rPr>
          <w:rFonts w:ascii="Arial" w:hAnsi="Arial" w:cs="Arial"/>
          <w:sz w:val="20"/>
          <w:szCs w:val="20"/>
        </w:rPr>
      </w:pPr>
      <w:r w:rsidRPr="002B2BF8">
        <w:rPr>
          <w:rFonts w:ascii="Arial" w:hAnsi="Arial" w:cs="Arial"/>
          <w:sz w:val="20"/>
          <w:szCs w:val="20"/>
        </w:rPr>
        <w:t xml:space="preserve">The coder used the available documentary evidence for each project to find examples for the project making concrete efforts and taking specific measures to analyse the political economy, stakeholders, context etc. on an ongoing basis and make decisions on targeting of proximate causes of service delivery failure based on this analysis, including changing course where necessary (linked to output 2 below). It also aimed to determine if this took place across the different sites of </w:t>
      </w:r>
      <w:r w:rsidR="00772B25" w:rsidRPr="002B2BF8">
        <w:rPr>
          <w:rFonts w:ascii="Arial" w:hAnsi="Arial" w:cs="Arial"/>
          <w:sz w:val="20"/>
          <w:szCs w:val="20"/>
        </w:rPr>
        <w:t>implementation.</w:t>
      </w:r>
      <w:r w:rsidRPr="002B2BF8">
        <w:rPr>
          <w:rFonts w:ascii="Arial" w:hAnsi="Arial" w:cs="Arial"/>
          <w:sz w:val="20"/>
          <w:szCs w:val="20"/>
        </w:rPr>
        <w:t xml:space="preserve"> Specific examples and quotes are provided in each of the project coding files with sources and page numbers.</w:t>
      </w:r>
    </w:p>
    <w:p w14:paraId="5AC11BAB" w14:textId="3D4F594C" w:rsidR="002B2BF8" w:rsidRPr="002B2BF8" w:rsidRDefault="002B2BF8" w:rsidP="002B2BF8">
      <w:pPr>
        <w:spacing w:after="0"/>
        <w:rPr>
          <w:rFonts w:ascii="Arial" w:hAnsi="Arial" w:cs="Arial"/>
          <w:i/>
          <w:iCs/>
          <w:sz w:val="20"/>
          <w:szCs w:val="20"/>
        </w:rPr>
      </w:pPr>
    </w:p>
    <w:p w14:paraId="28217AD9" w14:textId="226056A7" w:rsidR="002B2BF8" w:rsidRDefault="002B2BF8" w:rsidP="002B2BF8">
      <w:pPr>
        <w:spacing w:after="0"/>
        <w:rPr>
          <w:rFonts w:ascii="Arial" w:hAnsi="Arial" w:cs="Arial"/>
          <w:sz w:val="20"/>
          <w:szCs w:val="20"/>
        </w:rPr>
      </w:pPr>
      <w:r w:rsidRPr="002B2BF8">
        <w:rPr>
          <w:rFonts w:ascii="Arial" w:hAnsi="Arial" w:cs="Arial"/>
          <w:i/>
          <w:iCs/>
          <w:sz w:val="20"/>
          <w:szCs w:val="20"/>
        </w:rPr>
        <w:t>Limitations:</w:t>
      </w:r>
      <w:r>
        <w:rPr>
          <w:rFonts w:ascii="Arial" w:hAnsi="Arial" w:cs="Arial"/>
          <w:sz w:val="20"/>
          <w:szCs w:val="20"/>
        </w:rPr>
        <w:t xml:space="preserve"> </w:t>
      </w:r>
      <w:r w:rsidRPr="002B2BF8">
        <w:rPr>
          <w:rFonts w:ascii="Arial" w:hAnsi="Arial" w:cs="Arial"/>
          <w:sz w:val="20"/>
          <w:szCs w:val="20"/>
        </w:rPr>
        <w:t>Based on the secondary data documents available for the sample, it is difficult to ascertain with precision whether the C</w:t>
      </w:r>
      <w:r>
        <w:rPr>
          <w:rFonts w:ascii="Arial" w:hAnsi="Arial" w:cs="Arial"/>
          <w:sz w:val="20"/>
          <w:szCs w:val="20"/>
        </w:rPr>
        <w:t xml:space="preserve">ollaborative </w:t>
      </w:r>
      <w:r w:rsidRPr="002B2BF8">
        <w:rPr>
          <w:rFonts w:ascii="Arial" w:hAnsi="Arial" w:cs="Arial"/>
          <w:sz w:val="20"/>
          <w:szCs w:val="20"/>
        </w:rPr>
        <w:t>S</w:t>
      </w:r>
      <w:r>
        <w:rPr>
          <w:rFonts w:ascii="Arial" w:hAnsi="Arial" w:cs="Arial"/>
          <w:sz w:val="20"/>
          <w:szCs w:val="20"/>
        </w:rPr>
        <w:t xml:space="preserve">ocial </w:t>
      </w:r>
      <w:r w:rsidRPr="002B2BF8">
        <w:rPr>
          <w:rFonts w:ascii="Arial" w:hAnsi="Arial" w:cs="Arial"/>
          <w:sz w:val="20"/>
          <w:szCs w:val="20"/>
        </w:rPr>
        <w:t>A</w:t>
      </w:r>
      <w:r>
        <w:rPr>
          <w:rFonts w:ascii="Arial" w:hAnsi="Arial" w:cs="Arial"/>
          <w:sz w:val="20"/>
          <w:szCs w:val="20"/>
        </w:rPr>
        <w:t>ccountability</w:t>
      </w:r>
      <w:r w:rsidRPr="002B2BF8">
        <w:rPr>
          <w:rFonts w:ascii="Arial" w:hAnsi="Arial" w:cs="Arial"/>
          <w:sz w:val="20"/>
          <w:szCs w:val="20"/>
        </w:rPr>
        <w:t xml:space="preserve"> processes took place in all the project sites for all the projects. </w:t>
      </w:r>
      <w:r w:rsidR="00AC440F">
        <w:rPr>
          <w:rFonts w:ascii="Arial" w:hAnsi="Arial" w:cs="Arial"/>
          <w:sz w:val="20"/>
          <w:szCs w:val="20"/>
        </w:rPr>
        <w:t xml:space="preserve"> </w:t>
      </w:r>
      <w:r w:rsidRPr="002B2BF8">
        <w:rPr>
          <w:rFonts w:ascii="Arial" w:hAnsi="Arial" w:cs="Arial"/>
          <w:sz w:val="20"/>
          <w:szCs w:val="20"/>
        </w:rPr>
        <w:t>Also, the quality of CSA processes varies across the sites in terms of C</w:t>
      </w:r>
      <w:r>
        <w:rPr>
          <w:rFonts w:ascii="Arial" w:hAnsi="Arial" w:cs="Arial"/>
          <w:sz w:val="20"/>
          <w:szCs w:val="20"/>
        </w:rPr>
        <w:t xml:space="preserve">ollaborative </w:t>
      </w:r>
      <w:r w:rsidRPr="002B2BF8">
        <w:rPr>
          <w:rFonts w:ascii="Arial" w:hAnsi="Arial" w:cs="Arial"/>
          <w:sz w:val="20"/>
          <w:szCs w:val="20"/>
        </w:rPr>
        <w:t>S</w:t>
      </w:r>
      <w:r>
        <w:rPr>
          <w:rFonts w:ascii="Arial" w:hAnsi="Arial" w:cs="Arial"/>
          <w:sz w:val="20"/>
          <w:szCs w:val="20"/>
        </w:rPr>
        <w:t xml:space="preserve">ocial </w:t>
      </w:r>
      <w:r w:rsidRPr="002B2BF8">
        <w:rPr>
          <w:rFonts w:ascii="Arial" w:hAnsi="Arial" w:cs="Arial"/>
          <w:sz w:val="20"/>
          <w:szCs w:val="20"/>
        </w:rPr>
        <w:t>A</w:t>
      </w:r>
      <w:r>
        <w:rPr>
          <w:rFonts w:ascii="Arial" w:hAnsi="Arial" w:cs="Arial"/>
          <w:sz w:val="20"/>
          <w:szCs w:val="20"/>
        </w:rPr>
        <w:t>ccountability</w:t>
      </w:r>
      <w:r w:rsidRPr="002B2BF8">
        <w:rPr>
          <w:rFonts w:ascii="Arial" w:hAnsi="Arial" w:cs="Arial"/>
          <w:sz w:val="20"/>
          <w:szCs w:val="20"/>
        </w:rPr>
        <w:t xml:space="preserve"> engagement and effectiveness, as noted in many of the project source documents. </w:t>
      </w:r>
      <w:r w:rsidR="00AC440F">
        <w:rPr>
          <w:rFonts w:ascii="Arial" w:hAnsi="Arial" w:cs="Arial"/>
          <w:sz w:val="20"/>
          <w:szCs w:val="20"/>
        </w:rPr>
        <w:t xml:space="preserve">However, it is not the GPSA expectation that that quality and engagement across all sites in a project would be the same and it is unrealistic to expect 100% achievement. The data available in future assessments would ideally demonstrate the differences. </w:t>
      </w:r>
      <w:r w:rsidR="00F96282" w:rsidRPr="002B2BF8">
        <w:rPr>
          <w:rFonts w:ascii="Arial" w:hAnsi="Arial" w:cs="Arial"/>
          <w:sz w:val="20"/>
          <w:szCs w:val="20"/>
        </w:rPr>
        <w:t>However,</w:t>
      </w:r>
      <w:r w:rsidR="002F5A40">
        <w:rPr>
          <w:rFonts w:ascii="Arial" w:hAnsi="Arial" w:cs="Arial"/>
          <w:sz w:val="20"/>
          <w:szCs w:val="20"/>
        </w:rPr>
        <w:t xml:space="preserve"> as a value needed to be given for this indicator</w:t>
      </w:r>
      <w:r w:rsidR="002F5A40" w:rsidRPr="002B2BF8">
        <w:rPr>
          <w:rFonts w:ascii="Arial" w:hAnsi="Arial" w:cs="Arial"/>
          <w:sz w:val="20"/>
          <w:szCs w:val="20"/>
        </w:rPr>
        <w:t xml:space="preserve">, </w:t>
      </w:r>
      <w:r w:rsidR="002F5A40">
        <w:rPr>
          <w:rFonts w:ascii="Arial" w:hAnsi="Arial" w:cs="Arial"/>
          <w:sz w:val="20"/>
          <w:szCs w:val="20"/>
        </w:rPr>
        <w:t>the coder determined that t</w:t>
      </w:r>
      <w:r w:rsidRPr="002B2BF8">
        <w:rPr>
          <w:rFonts w:ascii="Arial" w:hAnsi="Arial" w:cs="Arial"/>
          <w:sz w:val="20"/>
          <w:szCs w:val="20"/>
        </w:rPr>
        <w:t xml:space="preserve">here was enough evidence in the documents to </w:t>
      </w:r>
      <w:r w:rsidR="002F5A40">
        <w:rPr>
          <w:rFonts w:ascii="Arial" w:hAnsi="Arial" w:cs="Arial"/>
          <w:sz w:val="20"/>
          <w:szCs w:val="20"/>
        </w:rPr>
        <w:t xml:space="preserve">verify that there </w:t>
      </w:r>
      <w:r w:rsidRPr="002B2BF8">
        <w:rPr>
          <w:rFonts w:ascii="Arial" w:hAnsi="Arial" w:cs="Arial"/>
          <w:sz w:val="20"/>
          <w:szCs w:val="20"/>
        </w:rPr>
        <w:t xml:space="preserve">were </w:t>
      </w:r>
      <w:r w:rsidR="00AC440F">
        <w:rPr>
          <w:rFonts w:ascii="Arial" w:hAnsi="Arial" w:cs="Arial"/>
          <w:sz w:val="20"/>
          <w:szCs w:val="20"/>
        </w:rPr>
        <w:t xml:space="preserve">at least </w:t>
      </w:r>
      <w:r w:rsidRPr="002B2BF8">
        <w:rPr>
          <w:rFonts w:ascii="Arial" w:hAnsi="Arial" w:cs="Arial"/>
          <w:sz w:val="20"/>
          <w:szCs w:val="20"/>
        </w:rPr>
        <w:t xml:space="preserve">CSA processes </w:t>
      </w:r>
      <w:r w:rsidR="002F5A40">
        <w:rPr>
          <w:rFonts w:ascii="Arial" w:hAnsi="Arial" w:cs="Arial"/>
          <w:sz w:val="20"/>
          <w:szCs w:val="20"/>
        </w:rPr>
        <w:t xml:space="preserve">taking place </w:t>
      </w:r>
      <w:r w:rsidRPr="002B2BF8">
        <w:rPr>
          <w:rFonts w:ascii="Arial" w:hAnsi="Arial" w:cs="Arial"/>
          <w:sz w:val="20"/>
          <w:szCs w:val="20"/>
        </w:rPr>
        <w:t>in all projects with inclusion of citizens with several examples across the document sample for each project, therefore a yes was deemed as warranted for all the projects in the sample.</w:t>
      </w:r>
    </w:p>
    <w:p w14:paraId="651A1CA6" w14:textId="77777777" w:rsidR="008759A2" w:rsidRPr="002B2BF8" w:rsidRDefault="008759A2" w:rsidP="002B2BF8">
      <w:pPr>
        <w:spacing w:after="0"/>
        <w:rPr>
          <w:rFonts w:ascii="Arial" w:hAnsi="Arial" w:cs="Arial"/>
          <w:sz w:val="20"/>
          <w:szCs w:val="20"/>
        </w:rPr>
      </w:pPr>
    </w:p>
    <w:p w14:paraId="6247E46B" w14:textId="56CEBDCB" w:rsidR="008E384F" w:rsidRDefault="008E384F" w:rsidP="008E384F">
      <w:pPr>
        <w:spacing w:after="0"/>
        <w:rPr>
          <w:rFonts w:ascii="Arial" w:hAnsi="Arial" w:cs="Arial"/>
          <w:b/>
          <w:bCs/>
          <w:sz w:val="20"/>
          <w:szCs w:val="20"/>
          <w:u w:val="single"/>
        </w:rPr>
      </w:pPr>
      <w:r w:rsidRPr="002D43D9">
        <w:rPr>
          <w:rFonts w:ascii="Arial" w:hAnsi="Arial" w:cs="Arial"/>
          <w:b/>
          <w:bCs/>
          <w:sz w:val="20"/>
          <w:szCs w:val="20"/>
          <w:u w:val="single"/>
        </w:rPr>
        <w:t>Outcome 3</w:t>
      </w:r>
      <w:r w:rsidR="002D43D9" w:rsidRPr="002D43D9">
        <w:rPr>
          <w:rFonts w:ascii="Arial" w:hAnsi="Arial" w:cs="Arial"/>
          <w:b/>
          <w:bCs/>
          <w:sz w:val="20"/>
          <w:szCs w:val="20"/>
          <w:u w:val="single"/>
        </w:rPr>
        <w:t xml:space="preserve"> </w:t>
      </w:r>
      <w:r w:rsidR="002D43D9">
        <w:rPr>
          <w:rFonts w:ascii="Arial" w:hAnsi="Arial" w:cs="Arial"/>
          <w:b/>
          <w:bCs/>
          <w:sz w:val="20"/>
          <w:szCs w:val="20"/>
          <w:u w:val="single"/>
        </w:rPr>
        <w:t>I</w:t>
      </w:r>
      <w:r w:rsidR="002D43D9" w:rsidRPr="002D43D9">
        <w:rPr>
          <w:rFonts w:ascii="Arial" w:hAnsi="Arial" w:cs="Arial"/>
          <w:b/>
          <w:bCs/>
          <w:sz w:val="20"/>
          <w:szCs w:val="20"/>
          <w:u w:val="single"/>
        </w:rPr>
        <w:t>ndicator</w:t>
      </w:r>
    </w:p>
    <w:p w14:paraId="54540450" w14:textId="1AB7605B" w:rsidR="002D43D9" w:rsidRDefault="002D43D9" w:rsidP="008E384F">
      <w:pPr>
        <w:spacing w:after="0"/>
        <w:rPr>
          <w:rFonts w:ascii="Arial" w:hAnsi="Arial" w:cs="Arial"/>
          <w:b/>
          <w:bCs/>
          <w:sz w:val="20"/>
          <w:szCs w:val="20"/>
          <w:u w:val="single"/>
        </w:rPr>
      </w:pPr>
    </w:p>
    <w:p w14:paraId="38584201" w14:textId="44E3156F" w:rsidR="002D43D9" w:rsidRPr="002D43D9" w:rsidRDefault="002D43D9" w:rsidP="002D43D9">
      <w:pPr>
        <w:spacing w:after="0"/>
        <w:rPr>
          <w:rFonts w:ascii="Arial" w:hAnsi="Arial" w:cs="Arial"/>
          <w:sz w:val="20"/>
          <w:szCs w:val="20"/>
        </w:rPr>
      </w:pPr>
      <w:r w:rsidRPr="002D43D9">
        <w:rPr>
          <w:rFonts w:ascii="Arial" w:hAnsi="Arial" w:cs="Arial"/>
          <w:i/>
          <w:iCs/>
          <w:sz w:val="20"/>
          <w:szCs w:val="20"/>
        </w:rPr>
        <w:t>Overview:</w:t>
      </w:r>
      <w:r w:rsidRPr="002D43D9">
        <w:rPr>
          <w:rFonts w:ascii="Arial" w:hAnsi="Arial" w:cs="Arial"/>
          <w:b/>
          <w:bCs/>
          <w:sz w:val="20"/>
          <w:szCs w:val="20"/>
        </w:rPr>
        <w:t xml:space="preserve"> </w:t>
      </w:r>
      <w:r w:rsidRPr="002D43D9">
        <w:rPr>
          <w:rFonts w:ascii="Arial" w:hAnsi="Arial" w:cs="Arial"/>
          <w:sz w:val="20"/>
          <w:szCs w:val="20"/>
        </w:rPr>
        <w:t xml:space="preserve">As all projects </w:t>
      </w:r>
      <w:r>
        <w:rPr>
          <w:rFonts w:ascii="Arial" w:hAnsi="Arial" w:cs="Arial"/>
          <w:sz w:val="20"/>
          <w:szCs w:val="20"/>
        </w:rPr>
        <w:t>were coded as fulfilling</w:t>
      </w:r>
      <w:r w:rsidRPr="002D43D9">
        <w:rPr>
          <w:rFonts w:ascii="Arial" w:hAnsi="Arial" w:cs="Arial"/>
          <w:sz w:val="20"/>
          <w:szCs w:val="20"/>
        </w:rPr>
        <w:t xml:space="preserve"> the criteria across the full sample, an aggregate value of 100% was provided.</w:t>
      </w:r>
    </w:p>
    <w:p w14:paraId="07F834D1" w14:textId="2CE8FC87" w:rsidR="002D43D9" w:rsidRDefault="002D43D9" w:rsidP="008E384F">
      <w:pPr>
        <w:spacing w:after="0"/>
        <w:rPr>
          <w:rFonts w:ascii="Arial" w:hAnsi="Arial" w:cs="Arial"/>
          <w:b/>
          <w:bCs/>
          <w:sz w:val="20"/>
          <w:szCs w:val="20"/>
          <w:u w:val="single"/>
        </w:rPr>
      </w:pPr>
    </w:p>
    <w:p w14:paraId="08A18E7B" w14:textId="28F537D3" w:rsidR="002D43D9" w:rsidRPr="002D43D9" w:rsidRDefault="002D43D9" w:rsidP="002D43D9">
      <w:pPr>
        <w:spacing w:after="0"/>
        <w:rPr>
          <w:rFonts w:ascii="Arial" w:hAnsi="Arial" w:cs="Arial"/>
          <w:sz w:val="20"/>
          <w:szCs w:val="20"/>
        </w:rPr>
      </w:pPr>
      <w:r w:rsidRPr="002D43D9">
        <w:rPr>
          <w:rFonts w:ascii="Arial" w:hAnsi="Arial" w:cs="Arial"/>
          <w:sz w:val="20"/>
          <w:szCs w:val="20"/>
        </w:rPr>
        <w:t xml:space="preserve">This was a Yes/No unit of analysis; </w:t>
      </w:r>
      <w:r w:rsidR="00772B25" w:rsidRPr="002D43D9">
        <w:rPr>
          <w:rFonts w:ascii="Arial" w:hAnsi="Arial" w:cs="Arial"/>
          <w:sz w:val="20"/>
          <w:szCs w:val="20"/>
        </w:rPr>
        <w:t>however,</w:t>
      </w:r>
      <w:r w:rsidRPr="002D43D9">
        <w:rPr>
          <w:rFonts w:ascii="Arial" w:hAnsi="Arial" w:cs="Arial"/>
          <w:sz w:val="20"/>
          <w:szCs w:val="20"/>
        </w:rPr>
        <w:t xml:space="preserve"> it sought to assess if the targeting took place across all project sites. In 1 case, the review indicated that evidence was not available to determine this in detail (CIRD Paraguay). </w:t>
      </w:r>
      <w:r w:rsidR="00772B25" w:rsidRPr="002D43D9">
        <w:rPr>
          <w:rFonts w:ascii="Arial" w:hAnsi="Arial" w:cs="Arial"/>
          <w:sz w:val="20"/>
          <w:szCs w:val="20"/>
        </w:rPr>
        <w:t>However,</w:t>
      </w:r>
      <w:r w:rsidRPr="002D43D9">
        <w:rPr>
          <w:rFonts w:ascii="Arial" w:hAnsi="Arial" w:cs="Arial"/>
          <w:sz w:val="20"/>
          <w:szCs w:val="20"/>
        </w:rPr>
        <w:t xml:space="preserve"> this does not mean that in all other projects, this outcome indicator was completely </w:t>
      </w:r>
      <w:r w:rsidR="002F74B4" w:rsidRPr="002D43D9">
        <w:rPr>
          <w:rFonts w:ascii="Arial" w:hAnsi="Arial" w:cs="Arial"/>
          <w:sz w:val="20"/>
          <w:szCs w:val="20"/>
        </w:rPr>
        <w:t>fulfilled</w:t>
      </w:r>
      <w:r w:rsidRPr="002D43D9">
        <w:rPr>
          <w:rFonts w:ascii="Arial" w:hAnsi="Arial" w:cs="Arial"/>
          <w:sz w:val="20"/>
          <w:szCs w:val="20"/>
        </w:rPr>
        <w:t xml:space="preserve"> across all the sites. </w:t>
      </w:r>
    </w:p>
    <w:p w14:paraId="38E3C905" w14:textId="77777777" w:rsidR="002D43D9" w:rsidRPr="002D43D9" w:rsidRDefault="002D43D9" w:rsidP="002D43D9">
      <w:pPr>
        <w:spacing w:after="0"/>
        <w:rPr>
          <w:rFonts w:ascii="Arial" w:hAnsi="Arial" w:cs="Arial"/>
          <w:sz w:val="20"/>
          <w:szCs w:val="20"/>
        </w:rPr>
      </w:pPr>
    </w:p>
    <w:p w14:paraId="15A39179" w14:textId="29EC7EBA" w:rsidR="002D43D9" w:rsidRPr="002D43D9" w:rsidRDefault="002D43D9" w:rsidP="002D43D9">
      <w:pPr>
        <w:spacing w:after="0"/>
        <w:rPr>
          <w:rFonts w:ascii="Arial" w:hAnsi="Arial" w:cs="Arial"/>
          <w:sz w:val="20"/>
          <w:szCs w:val="20"/>
        </w:rPr>
      </w:pPr>
      <w:r w:rsidRPr="002D43D9">
        <w:rPr>
          <w:rFonts w:ascii="Arial" w:hAnsi="Arial" w:cs="Arial"/>
          <w:sz w:val="20"/>
          <w:szCs w:val="20"/>
        </w:rPr>
        <w:t xml:space="preserve">The coder used the available documentary evidence for each project to find examples for the project making concrete efforts and taking specific measures to analyse the political economy, stakeholders, context etc. on an ongoing basis and make decisions on targeting of proximate causes of service delivery failure based on this analysis, including changing course where necessary (linked to output 2 below). It </w:t>
      </w:r>
      <w:r w:rsidRPr="002D43D9">
        <w:rPr>
          <w:rFonts w:ascii="Arial" w:hAnsi="Arial" w:cs="Arial"/>
          <w:sz w:val="20"/>
          <w:szCs w:val="20"/>
        </w:rPr>
        <w:lastRenderedPageBreak/>
        <w:t xml:space="preserve">also aimed to determine if this took place across the different sites of </w:t>
      </w:r>
      <w:r w:rsidR="00772B25" w:rsidRPr="002D43D9">
        <w:rPr>
          <w:rFonts w:ascii="Arial" w:hAnsi="Arial" w:cs="Arial"/>
          <w:sz w:val="20"/>
          <w:szCs w:val="20"/>
        </w:rPr>
        <w:t>implementation.</w:t>
      </w:r>
      <w:r w:rsidRPr="002D43D9">
        <w:rPr>
          <w:rFonts w:ascii="Arial" w:hAnsi="Arial" w:cs="Arial"/>
          <w:sz w:val="20"/>
          <w:szCs w:val="20"/>
        </w:rPr>
        <w:t xml:space="preserve"> Specific examples and quotes are provided in each of the project coding files with sources and page numbers.</w:t>
      </w:r>
    </w:p>
    <w:p w14:paraId="3F107B77" w14:textId="56BA27F4" w:rsidR="002D43D9" w:rsidRDefault="002D43D9" w:rsidP="002D43D9">
      <w:pPr>
        <w:spacing w:after="0"/>
        <w:rPr>
          <w:rFonts w:ascii="Arial" w:hAnsi="Arial" w:cs="Arial"/>
          <w:sz w:val="20"/>
          <w:szCs w:val="20"/>
        </w:rPr>
      </w:pPr>
    </w:p>
    <w:p w14:paraId="3E9B934F" w14:textId="4659D6E5" w:rsidR="002D43D9" w:rsidRPr="002D43D9" w:rsidRDefault="002D43D9" w:rsidP="002D43D9">
      <w:pPr>
        <w:spacing w:after="0"/>
        <w:rPr>
          <w:rFonts w:ascii="Arial" w:hAnsi="Arial" w:cs="Arial"/>
          <w:sz w:val="20"/>
          <w:szCs w:val="20"/>
        </w:rPr>
      </w:pPr>
      <w:r w:rsidRPr="002D43D9">
        <w:rPr>
          <w:rFonts w:ascii="Arial" w:hAnsi="Arial" w:cs="Arial"/>
          <w:i/>
          <w:iCs/>
          <w:sz w:val="20"/>
          <w:szCs w:val="20"/>
        </w:rPr>
        <w:t xml:space="preserve">Limitations: </w:t>
      </w:r>
      <w:r w:rsidRPr="002D43D9">
        <w:rPr>
          <w:rFonts w:ascii="Arial" w:hAnsi="Arial" w:cs="Arial"/>
          <w:sz w:val="20"/>
          <w:szCs w:val="20"/>
        </w:rPr>
        <w:t xml:space="preserve">Based on the secondary data documents available for the sample, it is difficult to ascertain with precision whether the </w:t>
      </w:r>
      <w:r w:rsidR="00AC440F">
        <w:rPr>
          <w:rFonts w:ascii="Arial" w:hAnsi="Arial" w:cs="Arial"/>
          <w:sz w:val="20"/>
          <w:szCs w:val="20"/>
        </w:rPr>
        <w:t>requisite analysis and actions for targeting of proximate causes</w:t>
      </w:r>
      <w:r w:rsidR="002F5A40">
        <w:rPr>
          <w:rFonts w:ascii="Arial" w:hAnsi="Arial" w:cs="Arial"/>
          <w:sz w:val="20"/>
          <w:szCs w:val="20"/>
        </w:rPr>
        <w:t xml:space="preserve"> of service deliver failure</w:t>
      </w:r>
      <w:r w:rsidRPr="002D43D9">
        <w:rPr>
          <w:rFonts w:ascii="Arial" w:hAnsi="Arial" w:cs="Arial"/>
          <w:sz w:val="20"/>
          <w:szCs w:val="20"/>
        </w:rPr>
        <w:t xml:space="preserve"> took place in all the project sites for all the projects. Also, the quality of CSA processes varies across the sites in terms of CSA engagement and effectiveness, as noted in many of the project source documents. </w:t>
      </w:r>
      <w:proofErr w:type="gramStart"/>
      <w:r w:rsidR="002F5A40">
        <w:rPr>
          <w:rFonts w:ascii="Arial" w:hAnsi="Arial" w:cs="Arial"/>
          <w:sz w:val="20"/>
          <w:szCs w:val="20"/>
        </w:rPr>
        <w:t>Similar to</w:t>
      </w:r>
      <w:proofErr w:type="gramEnd"/>
      <w:r w:rsidR="002F5A40">
        <w:rPr>
          <w:rFonts w:ascii="Arial" w:hAnsi="Arial" w:cs="Arial"/>
          <w:sz w:val="20"/>
          <w:szCs w:val="20"/>
        </w:rPr>
        <w:t xml:space="preserve"> outcome 2 indicator, the GPSA does not expect that the quality nd achievement to be the same across all sites, this would be unrealistic. </w:t>
      </w:r>
      <w:r w:rsidR="00F96282" w:rsidRPr="002D43D9">
        <w:rPr>
          <w:rFonts w:ascii="Arial" w:hAnsi="Arial" w:cs="Arial"/>
          <w:sz w:val="20"/>
          <w:szCs w:val="20"/>
        </w:rPr>
        <w:t>However,</w:t>
      </w:r>
      <w:r w:rsidR="002F5A40">
        <w:rPr>
          <w:rFonts w:ascii="Arial" w:hAnsi="Arial" w:cs="Arial"/>
          <w:sz w:val="20"/>
          <w:szCs w:val="20"/>
        </w:rPr>
        <w:t xml:space="preserve"> as a value needed to be given for this indicator</w:t>
      </w:r>
      <w:r w:rsidR="00772B25" w:rsidRPr="002D43D9">
        <w:rPr>
          <w:rFonts w:ascii="Arial" w:hAnsi="Arial" w:cs="Arial"/>
          <w:sz w:val="20"/>
          <w:szCs w:val="20"/>
        </w:rPr>
        <w:t>,</w:t>
      </w:r>
      <w:r w:rsidRPr="002D43D9">
        <w:rPr>
          <w:rFonts w:ascii="Arial" w:hAnsi="Arial" w:cs="Arial"/>
          <w:sz w:val="20"/>
          <w:szCs w:val="20"/>
        </w:rPr>
        <w:t xml:space="preserve"> </w:t>
      </w:r>
      <w:r w:rsidR="002F5A40">
        <w:rPr>
          <w:rFonts w:ascii="Arial" w:hAnsi="Arial" w:cs="Arial"/>
          <w:sz w:val="20"/>
          <w:szCs w:val="20"/>
        </w:rPr>
        <w:t xml:space="preserve">the coder determined that </w:t>
      </w:r>
      <w:r w:rsidRPr="002D43D9">
        <w:rPr>
          <w:rFonts w:ascii="Arial" w:hAnsi="Arial" w:cs="Arial"/>
          <w:sz w:val="20"/>
          <w:szCs w:val="20"/>
        </w:rPr>
        <w:t xml:space="preserve">there was enough evidence in the documents to </w:t>
      </w:r>
      <w:r w:rsidR="002F5A40">
        <w:rPr>
          <w:rFonts w:ascii="Arial" w:hAnsi="Arial" w:cs="Arial"/>
          <w:sz w:val="20"/>
          <w:szCs w:val="20"/>
        </w:rPr>
        <w:t xml:space="preserve">verify </w:t>
      </w:r>
      <w:r w:rsidRPr="002D43D9">
        <w:rPr>
          <w:rFonts w:ascii="Arial" w:hAnsi="Arial" w:cs="Arial"/>
          <w:sz w:val="20"/>
          <w:szCs w:val="20"/>
        </w:rPr>
        <w:t xml:space="preserve">that </w:t>
      </w:r>
      <w:r w:rsidR="002F5A40">
        <w:rPr>
          <w:rFonts w:ascii="Arial" w:hAnsi="Arial" w:cs="Arial"/>
          <w:sz w:val="20"/>
          <w:szCs w:val="20"/>
        </w:rPr>
        <w:t xml:space="preserve">targeting for proximate causes took place in </w:t>
      </w:r>
      <w:r w:rsidRPr="002D43D9">
        <w:rPr>
          <w:rFonts w:ascii="Arial" w:hAnsi="Arial" w:cs="Arial"/>
          <w:sz w:val="20"/>
          <w:szCs w:val="20"/>
        </w:rPr>
        <w:t>all projects</w:t>
      </w:r>
      <w:r w:rsidR="002F5A40">
        <w:rPr>
          <w:rFonts w:ascii="Arial" w:hAnsi="Arial" w:cs="Arial"/>
          <w:sz w:val="20"/>
          <w:szCs w:val="20"/>
        </w:rPr>
        <w:t>,</w:t>
      </w:r>
      <w:r w:rsidRPr="002D43D9">
        <w:rPr>
          <w:rFonts w:ascii="Arial" w:hAnsi="Arial" w:cs="Arial"/>
          <w:sz w:val="20"/>
          <w:szCs w:val="20"/>
        </w:rPr>
        <w:t xml:space="preserve"> with several examples across the document sample for each project, therefore a yes was deemed as warranted for all the projects in the sample.</w:t>
      </w:r>
    </w:p>
    <w:p w14:paraId="7A2A5CE8" w14:textId="463B3714" w:rsidR="002D43D9" w:rsidRDefault="002D43D9" w:rsidP="002D43D9">
      <w:pPr>
        <w:spacing w:after="0"/>
        <w:rPr>
          <w:rFonts w:ascii="Arial" w:hAnsi="Arial" w:cs="Arial"/>
          <w:b/>
          <w:bCs/>
          <w:sz w:val="20"/>
          <w:szCs w:val="20"/>
          <w:u w:val="single"/>
        </w:rPr>
      </w:pPr>
    </w:p>
    <w:p w14:paraId="1C5F3227" w14:textId="39250BEA" w:rsidR="00EE30C8" w:rsidRDefault="00752179" w:rsidP="008E384F">
      <w:pPr>
        <w:spacing w:after="0"/>
        <w:rPr>
          <w:rFonts w:ascii="Arial" w:hAnsi="Arial" w:cs="Arial"/>
          <w:b/>
          <w:bCs/>
          <w:sz w:val="20"/>
          <w:szCs w:val="20"/>
          <w:u w:val="single"/>
        </w:rPr>
      </w:pPr>
      <w:r w:rsidRPr="008759A2">
        <w:rPr>
          <w:rFonts w:ascii="Arial" w:hAnsi="Arial" w:cs="Arial"/>
          <w:b/>
          <w:bCs/>
          <w:sz w:val="20"/>
          <w:szCs w:val="20"/>
          <w:u w:val="single"/>
        </w:rPr>
        <w:t>Outcome 4</w:t>
      </w:r>
      <w:r w:rsidR="002D43D9">
        <w:rPr>
          <w:rFonts w:ascii="Arial" w:hAnsi="Arial" w:cs="Arial"/>
          <w:b/>
          <w:bCs/>
          <w:sz w:val="20"/>
          <w:szCs w:val="20"/>
          <w:u w:val="single"/>
        </w:rPr>
        <w:t xml:space="preserve">a) </w:t>
      </w:r>
      <w:r w:rsidRPr="008759A2">
        <w:rPr>
          <w:rFonts w:ascii="Arial" w:hAnsi="Arial" w:cs="Arial"/>
          <w:b/>
          <w:bCs/>
          <w:sz w:val="20"/>
          <w:szCs w:val="20"/>
          <w:u w:val="single"/>
        </w:rPr>
        <w:t xml:space="preserve">indicator </w:t>
      </w:r>
    </w:p>
    <w:p w14:paraId="6B909F85" w14:textId="26449712" w:rsidR="008759A2" w:rsidRDefault="008759A2" w:rsidP="008E384F">
      <w:pPr>
        <w:spacing w:after="0"/>
        <w:rPr>
          <w:rFonts w:ascii="Arial" w:hAnsi="Arial" w:cs="Arial"/>
          <w:b/>
          <w:bCs/>
          <w:sz w:val="20"/>
          <w:szCs w:val="20"/>
          <w:u w:val="single"/>
        </w:rPr>
      </w:pPr>
    </w:p>
    <w:p w14:paraId="14FBDBA4" w14:textId="2158C3D8" w:rsidR="008759A2" w:rsidRDefault="008759A2" w:rsidP="008759A2">
      <w:pPr>
        <w:spacing w:after="0"/>
        <w:rPr>
          <w:rFonts w:ascii="Arial" w:hAnsi="Arial" w:cs="Arial"/>
          <w:sz w:val="20"/>
          <w:szCs w:val="20"/>
        </w:rPr>
      </w:pPr>
      <w:r w:rsidRPr="008759A2">
        <w:rPr>
          <w:rFonts w:ascii="Arial" w:hAnsi="Arial" w:cs="Arial"/>
          <w:i/>
          <w:iCs/>
          <w:sz w:val="20"/>
          <w:szCs w:val="20"/>
        </w:rPr>
        <w:t>Overview:</w:t>
      </w:r>
      <w:r>
        <w:rPr>
          <w:rFonts w:ascii="Arial" w:hAnsi="Arial" w:cs="Arial"/>
          <w:sz w:val="20"/>
          <w:szCs w:val="20"/>
        </w:rPr>
        <w:t xml:space="preserve"> </w:t>
      </w:r>
      <w:r w:rsidRPr="008759A2">
        <w:rPr>
          <w:rFonts w:ascii="Arial" w:hAnsi="Arial" w:cs="Arial"/>
          <w:sz w:val="20"/>
          <w:szCs w:val="20"/>
        </w:rPr>
        <w:t xml:space="preserve">All projects were deemed to meet at least a score of 2 or 25% sustainability (none received a 1 or 0%) therefore, an aggregate value of 100% was provided. </w:t>
      </w:r>
      <w:r w:rsidR="00772B25" w:rsidRPr="008759A2">
        <w:rPr>
          <w:rFonts w:ascii="Arial" w:hAnsi="Arial" w:cs="Arial"/>
          <w:sz w:val="20"/>
          <w:szCs w:val="20"/>
        </w:rPr>
        <w:t>However,</w:t>
      </w:r>
      <w:r w:rsidRPr="008759A2">
        <w:rPr>
          <w:rFonts w:ascii="Arial" w:hAnsi="Arial" w:cs="Arial"/>
          <w:sz w:val="20"/>
          <w:szCs w:val="20"/>
        </w:rPr>
        <w:t xml:space="preserve"> the aggregate values for the breakdown of projects that fell into each category of 2-5 was also assessed and is provided.</w:t>
      </w:r>
    </w:p>
    <w:p w14:paraId="1D25D768" w14:textId="119D281E" w:rsidR="008759A2" w:rsidRPr="00EE30C8" w:rsidRDefault="008759A2" w:rsidP="008759A2">
      <w:pPr>
        <w:spacing w:after="0"/>
        <w:rPr>
          <w:rFonts w:ascii="Arial" w:hAnsi="Arial" w:cs="Arial"/>
          <w:sz w:val="20"/>
          <w:szCs w:val="20"/>
        </w:rPr>
      </w:pPr>
      <w:r w:rsidRPr="00EE30C8">
        <w:rPr>
          <w:rFonts w:ascii="Arial" w:hAnsi="Arial" w:cs="Arial"/>
          <w:sz w:val="20"/>
          <w:szCs w:val="20"/>
        </w:rPr>
        <w:t xml:space="preserve">According the GPSA target for 25% for outcome indicator 4a on </w:t>
      </w:r>
      <w:r w:rsidR="00772B25" w:rsidRPr="00EE30C8">
        <w:rPr>
          <w:rFonts w:ascii="Arial" w:hAnsi="Arial" w:cs="Arial"/>
          <w:sz w:val="20"/>
          <w:szCs w:val="20"/>
        </w:rPr>
        <w:t>sustainability</w:t>
      </w:r>
      <w:r w:rsidRPr="00EE30C8">
        <w:rPr>
          <w:rFonts w:ascii="Arial" w:hAnsi="Arial" w:cs="Arial"/>
          <w:sz w:val="20"/>
          <w:szCs w:val="20"/>
        </w:rPr>
        <w:t xml:space="preserve">, this has been </w:t>
      </w:r>
      <w:r w:rsidR="00772B25" w:rsidRPr="00EE30C8">
        <w:rPr>
          <w:rFonts w:ascii="Arial" w:hAnsi="Arial" w:cs="Arial"/>
          <w:sz w:val="20"/>
          <w:szCs w:val="20"/>
        </w:rPr>
        <w:t>reached</w:t>
      </w:r>
      <w:r w:rsidRPr="00EE30C8">
        <w:rPr>
          <w:rFonts w:ascii="Arial" w:hAnsi="Arial" w:cs="Arial"/>
          <w:sz w:val="20"/>
          <w:szCs w:val="20"/>
        </w:rPr>
        <w:t xml:space="preserve"> and exceeded based on the retroactive coding exercise.</w:t>
      </w:r>
    </w:p>
    <w:p w14:paraId="515B8FB3" w14:textId="40A4A4D0" w:rsidR="008759A2" w:rsidRDefault="008759A2" w:rsidP="008E384F">
      <w:pPr>
        <w:spacing w:after="0"/>
        <w:rPr>
          <w:rFonts w:ascii="Arial" w:hAnsi="Arial" w:cs="Arial"/>
          <w:sz w:val="20"/>
          <w:szCs w:val="20"/>
        </w:rPr>
      </w:pPr>
    </w:p>
    <w:p w14:paraId="1ACFE349" w14:textId="5518CDC8" w:rsidR="002F5A40" w:rsidRDefault="008759A2" w:rsidP="008759A2">
      <w:pPr>
        <w:spacing w:after="0"/>
        <w:rPr>
          <w:rFonts w:ascii="Arial" w:hAnsi="Arial" w:cs="Arial"/>
          <w:sz w:val="20"/>
          <w:szCs w:val="20"/>
          <w:lang w:val="en-US"/>
        </w:rPr>
      </w:pPr>
      <w:r w:rsidRPr="008759A2">
        <w:rPr>
          <w:rFonts w:ascii="Arial" w:hAnsi="Arial" w:cs="Arial"/>
          <w:sz w:val="20"/>
          <w:szCs w:val="20"/>
          <w:lang w:val="en-US"/>
        </w:rPr>
        <w:t>Th</w:t>
      </w:r>
      <w:r w:rsidR="002F5A40">
        <w:rPr>
          <w:rFonts w:ascii="Arial" w:hAnsi="Arial" w:cs="Arial"/>
          <w:sz w:val="20"/>
          <w:szCs w:val="20"/>
          <w:lang w:val="en-US"/>
        </w:rPr>
        <w:t xml:space="preserve">is indicator is fundamental to the GPSA model, as outlined in the Theory of Action. The </w:t>
      </w:r>
      <w:r w:rsidRPr="008759A2">
        <w:rPr>
          <w:rFonts w:ascii="Arial" w:hAnsi="Arial" w:cs="Arial"/>
          <w:sz w:val="20"/>
          <w:szCs w:val="20"/>
          <w:lang w:val="en-US"/>
        </w:rPr>
        <w:t>GPSA</w:t>
      </w:r>
      <w:r>
        <w:rPr>
          <w:rFonts w:ascii="Arial" w:hAnsi="Arial" w:cs="Arial"/>
          <w:sz w:val="20"/>
          <w:szCs w:val="20"/>
          <w:lang w:val="en-US"/>
        </w:rPr>
        <w:t>’s</w:t>
      </w:r>
      <w:r w:rsidRPr="008759A2">
        <w:rPr>
          <w:rFonts w:ascii="Arial" w:hAnsi="Arial" w:cs="Arial"/>
          <w:sz w:val="20"/>
          <w:szCs w:val="20"/>
          <w:lang w:val="en-US"/>
        </w:rPr>
        <w:t xml:space="preserve"> concept of sustainability as identified in the MERL Guide is </w:t>
      </w:r>
      <w:proofErr w:type="gramStart"/>
      <w:r w:rsidRPr="008759A2">
        <w:rPr>
          <w:rFonts w:ascii="Arial" w:hAnsi="Arial" w:cs="Arial"/>
          <w:sz w:val="20"/>
          <w:szCs w:val="20"/>
          <w:lang w:val="en-US"/>
        </w:rPr>
        <w:t>very specific</w:t>
      </w:r>
      <w:proofErr w:type="gramEnd"/>
      <w:r w:rsidRPr="008759A2">
        <w:rPr>
          <w:rFonts w:ascii="Arial" w:hAnsi="Arial" w:cs="Arial"/>
          <w:sz w:val="20"/>
          <w:szCs w:val="20"/>
          <w:lang w:val="en-US"/>
        </w:rPr>
        <w:t xml:space="preserve"> to CSA and the GPSA. </w:t>
      </w:r>
      <w:r w:rsidR="002F5A40">
        <w:rPr>
          <w:rFonts w:ascii="Arial" w:hAnsi="Arial" w:cs="Arial"/>
          <w:sz w:val="20"/>
          <w:szCs w:val="20"/>
          <w:lang w:val="en-US"/>
        </w:rPr>
        <w:t xml:space="preserve">It is also an experimental indicator that requires ongoing testing. It is </w:t>
      </w:r>
      <w:r w:rsidR="00DB5471">
        <w:rPr>
          <w:rFonts w:ascii="Arial" w:hAnsi="Arial" w:cs="Arial"/>
          <w:sz w:val="20"/>
          <w:szCs w:val="20"/>
          <w:lang w:val="en-US"/>
        </w:rPr>
        <w:t xml:space="preserve">also </w:t>
      </w:r>
      <w:r w:rsidR="002F5A40">
        <w:rPr>
          <w:rFonts w:ascii="Arial" w:hAnsi="Arial" w:cs="Arial"/>
          <w:sz w:val="20"/>
          <w:szCs w:val="20"/>
          <w:lang w:val="en-US"/>
        </w:rPr>
        <w:t xml:space="preserve">linked to other work and research ongoing by those involved with the GPSA working in the Transparency, </w:t>
      </w:r>
      <w:proofErr w:type="gramStart"/>
      <w:r w:rsidR="002F5A40">
        <w:rPr>
          <w:rFonts w:ascii="Arial" w:hAnsi="Arial" w:cs="Arial"/>
          <w:sz w:val="20"/>
          <w:szCs w:val="20"/>
          <w:lang w:val="en-US"/>
        </w:rPr>
        <w:t>accountability</w:t>
      </w:r>
      <w:proofErr w:type="gramEnd"/>
      <w:r w:rsidR="002F5A40">
        <w:rPr>
          <w:rFonts w:ascii="Arial" w:hAnsi="Arial" w:cs="Arial"/>
          <w:sz w:val="20"/>
          <w:szCs w:val="20"/>
          <w:lang w:val="en-US"/>
        </w:rPr>
        <w:t xml:space="preserve"> and Participation (TPA) sector to facilitate continuous learning about sustainability and scal</w:t>
      </w:r>
      <w:r w:rsidR="00DB5471">
        <w:rPr>
          <w:rFonts w:ascii="Arial" w:hAnsi="Arial" w:cs="Arial"/>
          <w:sz w:val="20"/>
          <w:szCs w:val="20"/>
          <w:lang w:val="en-US"/>
        </w:rPr>
        <w:t>e-up</w:t>
      </w:r>
      <w:r w:rsidR="002F5A40">
        <w:rPr>
          <w:rFonts w:ascii="Arial" w:hAnsi="Arial" w:cs="Arial"/>
          <w:sz w:val="20"/>
          <w:szCs w:val="20"/>
          <w:lang w:val="en-US"/>
        </w:rPr>
        <w:t xml:space="preserve"> </w:t>
      </w:r>
      <w:r w:rsidR="00DB5471">
        <w:rPr>
          <w:rFonts w:ascii="Arial" w:hAnsi="Arial" w:cs="Arial"/>
          <w:sz w:val="20"/>
          <w:szCs w:val="20"/>
          <w:lang w:val="en-US"/>
        </w:rPr>
        <w:t>of</w:t>
      </w:r>
      <w:r w:rsidR="002F5A40">
        <w:rPr>
          <w:rFonts w:ascii="Arial" w:hAnsi="Arial" w:cs="Arial"/>
          <w:sz w:val="20"/>
          <w:szCs w:val="20"/>
          <w:lang w:val="en-US"/>
        </w:rPr>
        <w:t xml:space="preserve"> CSA. </w:t>
      </w:r>
      <w:r w:rsidR="002F5A40">
        <w:rPr>
          <w:rStyle w:val="FootnoteReference"/>
          <w:rFonts w:ascii="Arial" w:hAnsi="Arial" w:cs="Arial"/>
          <w:sz w:val="20"/>
          <w:szCs w:val="20"/>
          <w:lang w:val="en-US"/>
        </w:rPr>
        <w:footnoteReference w:id="2"/>
      </w:r>
    </w:p>
    <w:p w14:paraId="6D53CD14" w14:textId="77777777" w:rsidR="002F5A40" w:rsidRDefault="002F5A40" w:rsidP="008759A2">
      <w:pPr>
        <w:spacing w:after="0"/>
        <w:rPr>
          <w:rFonts w:ascii="Arial" w:hAnsi="Arial" w:cs="Arial"/>
          <w:sz w:val="20"/>
          <w:szCs w:val="20"/>
          <w:lang w:val="en-US"/>
        </w:rPr>
      </w:pPr>
    </w:p>
    <w:p w14:paraId="3AA146D2" w14:textId="339B450D" w:rsidR="008759A2" w:rsidRDefault="008759A2" w:rsidP="008759A2">
      <w:pPr>
        <w:spacing w:after="0"/>
        <w:rPr>
          <w:rFonts w:ascii="Arial" w:hAnsi="Arial" w:cs="Arial"/>
          <w:sz w:val="20"/>
          <w:szCs w:val="20"/>
          <w:lang w:val="en-US"/>
        </w:rPr>
      </w:pPr>
      <w:r w:rsidRPr="008759A2">
        <w:rPr>
          <w:rFonts w:ascii="Arial" w:hAnsi="Arial" w:cs="Arial"/>
          <w:sz w:val="20"/>
          <w:szCs w:val="20"/>
          <w:lang w:val="en-US"/>
        </w:rPr>
        <w:t xml:space="preserve">This outcome and indicator </w:t>
      </w:r>
      <w:r w:rsidR="00FA5D7E" w:rsidRPr="008759A2">
        <w:rPr>
          <w:rFonts w:ascii="Arial" w:hAnsi="Arial" w:cs="Arial"/>
          <w:sz w:val="20"/>
          <w:szCs w:val="20"/>
          <w:lang w:val="en-US"/>
        </w:rPr>
        <w:t>focus</w:t>
      </w:r>
      <w:r w:rsidRPr="008759A2">
        <w:rPr>
          <w:rFonts w:ascii="Arial" w:hAnsi="Arial" w:cs="Arial"/>
          <w:sz w:val="20"/>
          <w:szCs w:val="20"/>
          <w:lang w:val="en-US"/>
        </w:rPr>
        <w:t xml:space="preserve"> on the likelihood of key actors (public sector, WB, donors, INGOs) applying or sustaining </w:t>
      </w:r>
      <w:r w:rsidR="00772B25">
        <w:rPr>
          <w:rFonts w:ascii="Arial" w:hAnsi="Arial" w:cs="Arial"/>
          <w:sz w:val="20"/>
          <w:szCs w:val="20"/>
          <w:lang w:val="en-US"/>
        </w:rPr>
        <w:t>e</w:t>
      </w:r>
      <w:r w:rsidRPr="008759A2">
        <w:rPr>
          <w:rFonts w:ascii="Arial" w:hAnsi="Arial" w:cs="Arial"/>
          <w:sz w:val="20"/>
          <w:szCs w:val="20"/>
          <w:lang w:val="en-US"/>
        </w:rPr>
        <w:t xml:space="preserve">lements and/or lessons of Collaborative Social Accountability (CSA) process. The GPSA is not attempting to achieve nor measure wholesale replication or full institutionalization of CSA. The emphasis is on process sustainability and function, not form of CSA. It casts a wide net on different potential outcomes for sustainability which </w:t>
      </w:r>
      <w:proofErr w:type="gramStart"/>
      <w:r w:rsidRPr="008759A2">
        <w:rPr>
          <w:rFonts w:ascii="Arial" w:hAnsi="Arial" w:cs="Arial"/>
          <w:sz w:val="20"/>
          <w:szCs w:val="20"/>
          <w:lang w:val="en-US"/>
        </w:rPr>
        <w:t>are used</w:t>
      </w:r>
      <w:proofErr w:type="gramEnd"/>
      <w:r w:rsidRPr="008759A2">
        <w:rPr>
          <w:rFonts w:ascii="Arial" w:hAnsi="Arial" w:cs="Arial"/>
          <w:sz w:val="20"/>
          <w:szCs w:val="20"/>
          <w:lang w:val="en-US"/>
        </w:rPr>
        <w:t xml:space="preserve"> by the coder to assess progress and evidence of sustainability for GPSA projects such as:</w:t>
      </w:r>
    </w:p>
    <w:p w14:paraId="4E6F6DC4" w14:textId="77777777" w:rsidR="002F5A40" w:rsidRPr="008759A2" w:rsidRDefault="002F5A40" w:rsidP="008759A2">
      <w:pPr>
        <w:spacing w:after="0"/>
        <w:rPr>
          <w:rFonts w:ascii="Arial" w:hAnsi="Arial" w:cs="Arial"/>
          <w:sz w:val="20"/>
          <w:szCs w:val="20"/>
          <w:lang w:val="en-US"/>
        </w:rPr>
      </w:pPr>
    </w:p>
    <w:p w14:paraId="5826C48C" w14:textId="56E4DA29" w:rsidR="008759A2" w:rsidRPr="008759A2" w:rsidRDefault="008759A2" w:rsidP="008759A2">
      <w:pPr>
        <w:spacing w:after="0"/>
        <w:rPr>
          <w:rFonts w:ascii="Arial" w:hAnsi="Arial" w:cs="Arial"/>
          <w:sz w:val="20"/>
          <w:szCs w:val="20"/>
          <w:lang w:val="en-US"/>
        </w:rPr>
      </w:pPr>
      <w:r w:rsidRPr="008759A2">
        <w:rPr>
          <w:rFonts w:ascii="Arial" w:hAnsi="Arial" w:cs="Arial"/>
          <w:sz w:val="20"/>
          <w:szCs w:val="20"/>
          <w:lang w:val="en-US"/>
        </w:rPr>
        <w:t xml:space="preserve">Work of the multi-stakeholder compact </w:t>
      </w:r>
      <w:proofErr w:type="gramStart"/>
      <w:r w:rsidRPr="008759A2">
        <w:rPr>
          <w:rFonts w:ascii="Arial" w:hAnsi="Arial" w:cs="Arial"/>
          <w:sz w:val="20"/>
          <w:szCs w:val="20"/>
          <w:lang w:val="en-US"/>
        </w:rPr>
        <w:t>was integrated</w:t>
      </w:r>
      <w:proofErr w:type="gramEnd"/>
      <w:r w:rsidRPr="008759A2">
        <w:rPr>
          <w:rFonts w:ascii="Arial" w:hAnsi="Arial" w:cs="Arial"/>
          <w:sz w:val="20"/>
          <w:szCs w:val="20"/>
          <w:lang w:val="en-US"/>
        </w:rPr>
        <w:t xml:space="preserve"> into another public sector project, program, policy.</w:t>
      </w:r>
    </w:p>
    <w:p w14:paraId="624F1C07" w14:textId="36DC3FC1" w:rsidR="008759A2" w:rsidRPr="008759A2" w:rsidRDefault="008759A2" w:rsidP="008759A2">
      <w:pPr>
        <w:pStyle w:val="ListParagraph"/>
        <w:numPr>
          <w:ilvl w:val="0"/>
          <w:numId w:val="20"/>
        </w:numPr>
        <w:spacing w:after="0"/>
        <w:rPr>
          <w:rFonts w:ascii="Arial" w:hAnsi="Arial" w:cs="Arial"/>
          <w:sz w:val="20"/>
          <w:szCs w:val="20"/>
        </w:rPr>
      </w:pPr>
      <w:r w:rsidRPr="008759A2">
        <w:rPr>
          <w:rFonts w:ascii="Arial" w:hAnsi="Arial" w:cs="Arial"/>
          <w:sz w:val="20"/>
          <w:szCs w:val="20"/>
        </w:rPr>
        <w:t>Public sector counterparts used lessons to inform public sector reforms</w:t>
      </w:r>
    </w:p>
    <w:p w14:paraId="0FF32B56" w14:textId="0BC92A0D" w:rsidR="008759A2" w:rsidRPr="008759A2" w:rsidRDefault="008759A2" w:rsidP="008759A2">
      <w:pPr>
        <w:pStyle w:val="ListParagraph"/>
        <w:numPr>
          <w:ilvl w:val="0"/>
          <w:numId w:val="20"/>
        </w:numPr>
        <w:spacing w:after="0"/>
        <w:rPr>
          <w:rFonts w:ascii="Arial" w:hAnsi="Arial" w:cs="Arial"/>
          <w:sz w:val="20"/>
          <w:szCs w:val="20"/>
        </w:rPr>
      </w:pPr>
      <w:r w:rsidRPr="008759A2">
        <w:rPr>
          <w:rFonts w:ascii="Arial" w:hAnsi="Arial" w:cs="Arial"/>
          <w:sz w:val="20"/>
          <w:szCs w:val="20"/>
        </w:rPr>
        <w:t xml:space="preserve">Emulation by local public sector or service providers (e.g., schools) that observed, </w:t>
      </w:r>
      <w:proofErr w:type="gramStart"/>
      <w:r w:rsidRPr="008759A2">
        <w:rPr>
          <w:rFonts w:ascii="Arial" w:hAnsi="Arial" w:cs="Arial"/>
          <w:sz w:val="20"/>
          <w:szCs w:val="20"/>
        </w:rPr>
        <w:t>adopted</w:t>
      </w:r>
      <w:proofErr w:type="gramEnd"/>
      <w:r w:rsidRPr="008759A2">
        <w:rPr>
          <w:rFonts w:ascii="Arial" w:hAnsi="Arial" w:cs="Arial"/>
          <w:sz w:val="20"/>
          <w:szCs w:val="20"/>
        </w:rPr>
        <w:t xml:space="preserve"> or adapted the CSA.</w:t>
      </w:r>
    </w:p>
    <w:p w14:paraId="7ED24034" w14:textId="4B96DED7" w:rsidR="008759A2" w:rsidRPr="008759A2" w:rsidRDefault="008759A2" w:rsidP="008759A2">
      <w:pPr>
        <w:pStyle w:val="ListParagraph"/>
        <w:numPr>
          <w:ilvl w:val="0"/>
          <w:numId w:val="20"/>
        </w:numPr>
        <w:spacing w:after="0"/>
        <w:rPr>
          <w:rFonts w:ascii="Arial" w:hAnsi="Arial" w:cs="Arial"/>
          <w:sz w:val="20"/>
          <w:szCs w:val="20"/>
        </w:rPr>
      </w:pPr>
      <w:r w:rsidRPr="008759A2">
        <w:rPr>
          <w:rFonts w:ascii="Arial" w:hAnsi="Arial" w:cs="Arial"/>
          <w:sz w:val="20"/>
          <w:szCs w:val="20"/>
        </w:rPr>
        <w:t>WB or other donors used lessons/CSA approaches to advise public sector/other partners’ future programs</w:t>
      </w:r>
    </w:p>
    <w:p w14:paraId="62F61368" w14:textId="5A3CBC6F" w:rsidR="008759A2" w:rsidRPr="008759A2" w:rsidRDefault="008759A2" w:rsidP="008759A2">
      <w:pPr>
        <w:pStyle w:val="ListParagraph"/>
        <w:numPr>
          <w:ilvl w:val="0"/>
          <w:numId w:val="20"/>
        </w:numPr>
        <w:spacing w:after="0"/>
        <w:rPr>
          <w:rFonts w:ascii="Arial" w:hAnsi="Arial" w:cs="Arial"/>
          <w:sz w:val="20"/>
          <w:szCs w:val="20"/>
        </w:rPr>
      </w:pPr>
      <w:r w:rsidRPr="008759A2">
        <w:rPr>
          <w:rFonts w:ascii="Arial" w:hAnsi="Arial" w:cs="Arial"/>
          <w:sz w:val="20"/>
          <w:szCs w:val="20"/>
        </w:rPr>
        <w:t>WB or other donors will be funding an adaptation of the project moving forward in same sector or other sectors.</w:t>
      </w:r>
    </w:p>
    <w:p w14:paraId="15537B30" w14:textId="017F5A08" w:rsidR="008759A2" w:rsidRPr="008759A2" w:rsidRDefault="008759A2" w:rsidP="008759A2">
      <w:pPr>
        <w:pStyle w:val="ListParagraph"/>
        <w:numPr>
          <w:ilvl w:val="0"/>
          <w:numId w:val="20"/>
        </w:numPr>
        <w:spacing w:after="0"/>
        <w:rPr>
          <w:rFonts w:ascii="Arial" w:hAnsi="Arial" w:cs="Arial"/>
          <w:sz w:val="20"/>
          <w:szCs w:val="20"/>
        </w:rPr>
      </w:pPr>
      <w:r w:rsidRPr="008759A2">
        <w:rPr>
          <w:rFonts w:ascii="Arial" w:hAnsi="Arial" w:cs="Arial"/>
          <w:sz w:val="20"/>
          <w:szCs w:val="20"/>
        </w:rPr>
        <w:t xml:space="preserve">Any observed or reported uptake, scale-up and sustainability led by other INGOs/CSOs. </w:t>
      </w:r>
    </w:p>
    <w:p w14:paraId="3EA9A453" w14:textId="66B4E3EE" w:rsidR="008759A2" w:rsidRPr="008759A2" w:rsidRDefault="008759A2" w:rsidP="008759A2">
      <w:pPr>
        <w:pStyle w:val="ListParagraph"/>
        <w:numPr>
          <w:ilvl w:val="0"/>
          <w:numId w:val="20"/>
        </w:numPr>
        <w:spacing w:after="0"/>
        <w:rPr>
          <w:rFonts w:ascii="Arial" w:hAnsi="Arial" w:cs="Arial"/>
          <w:sz w:val="20"/>
          <w:szCs w:val="20"/>
        </w:rPr>
      </w:pPr>
      <w:r w:rsidRPr="008759A2">
        <w:rPr>
          <w:rFonts w:ascii="Arial" w:hAnsi="Arial" w:cs="Arial"/>
          <w:sz w:val="20"/>
          <w:szCs w:val="20"/>
        </w:rPr>
        <w:t>If the project trajectory demonstrates ongoing dialogue with key actors (relevant public sector officials and WB operations staff) over time, to move the process for potential CSA uptake forward.</w:t>
      </w:r>
    </w:p>
    <w:p w14:paraId="0D11CD5C" w14:textId="77777777" w:rsidR="008759A2" w:rsidRPr="008759A2" w:rsidRDefault="008759A2" w:rsidP="008759A2">
      <w:pPr>
        <w:spacing w:after="0"/>
        <w:rPr>
          <w:rFonts w:ascii="Arial" w:hAnsi="Arial" w:cs="Arial"/>
          <w:sz w:val="20"/>
          <w:szCs w:val="20"/>
          <w:lang w:val="en-US"/>
        </w:rPr>
      </w:pPr>
    </w:p>
    <w:p w14:paraId="7F0007A7" w14:textId="7D96E2DE" w:rsidR="008759A2" w:rsidRPr="008759A2" w:rsidRDefault="008759A2" w:rsidP="008759A2">
      <w:pPr>
        <w:spacing w:after="0"/>
        <w:rPr>
          <w:rFonts w:ascii="Arial" w:hAnsi="Arial" w:cs="Arial"/>
          <w:sz w:val="20"/>
          <w:szCs w:val="20"/>
          <w:lang w:val="en-US"/>
        </w:rPr>
      </w:pPr>
      <w:r w:rsidRPr="008759A2">
        <w:rPr>
          <w:rFonts w:ascii="Arial" w:hAnsi="Arial" w:cs="Arial"/>
          <w:sz w:val="20"/>
          <w:szCs w:val="20"/>
          <w:lang w:val="en-US"/>
        </w:rPr>
        <w:t xml:space="preserve">However, sustainability criteria </w:t>
      </w:r>
      <w:proofErr w:type="gramStart"/>
      <w:r w:rsidR="00F96282" w:rsidRPr="008759A2">
        <w:rPr>
          <w:rFonts w:ascii="Arial" w:hAnsi="Arial" w:cs="Arial"/>
          <w:sz w:val="20"/>
          <w:szCs w:val="20"/>
          <w:lang w:val="en-US"/>
        </w:rPr>
        <w:t>are</w:t>
      </w:r>
      <w:r w:rsidRPr="008759A2">
        <w:rPr>
          <w:rFonts w:ascii="Arial" w:hAnsi="Arial" w:cs="Arial"/>
          <w:sz w:val="20"/>
          <w:szCs w:val="20"/>
          <w:lang w:val="en-US"/>
        </w:rPr>
        <w:t xml:space="preserve"> not fulfilled</w:t>
      </w:r>
      <w:proofErr w:type="gramEnd"/>
      <w:r w:rsidRPr="008759A2">
        <w:rPr>
          <w:rFonts w:ascii="Arial" w:hAnsi="Arial" w:cs="Arial"/>
          <w:sz w:val="20"/>
          <w:szCs w:val="20"/>
          <w:lang w:val="en-US"/>
        </w:rPr>
        <w:t xml:space="preserve"> just through information sharing/dissemination. Efforts to engage and find avenues for sustainability by project grant partners also must take place throughout the project, not just at the end.</w:t>
      </w:r>
    </w:p>
    <w:p w14:paraId="3F328B94" w14:textId="77777777" w:rsidR="008759A2" w:rsidRPr="008759A2" w:rsidRDefault="008759A2" w:rsidP="008759A2">
      <w:pPr>
        <w:spacing w:after="0"/>
        <w:rPr>
          <w:rFonts w:ascii="Arial" w:hAnsi="Arial" w:cs="Arial"/>
          <w:sz w:val="20"/>
          <w:szCs w:val="20"/>
          <w:lang w:val="en-US"/>
        </w:rPr>
      </w:pPr>
    </w:p>
    <w:p w14:paraId="075390CA" w14:textId="3F520013" w:rsidR="008759A2" w:rsidRPr="00EE30C8" w:rsidRDefault="008759A2" w:rsidP="008759A2">
      <w:pPr>
        <w:spacing w:after="0"/>
        <w:rPr>
          <w:rFonts w:ascii="Arial" w:hAnsi="Arial" w:cs="Arial"/>
          <w:sz w:val="20"/>
          <w:szCs w:val="20"/>
          <w:lang w:val="en-US"/>
        </w:rPr>
      </w:pPr>
      <w:r w:rsidRPr="008759A2">
        <w:rPr>
          <w:rFonts w:ascii="Arial" w:hAnsi="Arial" w:cs="Arial"/>
          <w:sz w:val="20"/>
          <w:szCs w:val="20"/>
          <w:lang w:val="en-US"/>
        </w:rPr>
        <w:t xml:space="preserve">The ranking of sustainability for the GPSA projects </w:t>
      </w:r>
      <w:proofErr w:type="gramStart"/>
      <w:r w:rsidRPr="008759A2">
        <w:rPr>
          <w:rFonts w:ascii="Arial" w:hAnsi="Arial" w:cs="Arial"/>
          <w:sz w:val="20"/>
          <w:szCs w:val="20"/>
          <w:lang w:val="en-US"/>
        </w:rPr>
        <w:t>is defined</w:t>
      </w:r>
      <w:proofErr w:type="gramEnd"/>
      <w:r w:rsidRPr="008759A2">
        <w:rPr>
          <w:rFonts w:ascii="Arial" w:hAnsi="Arial" w:cs="Arial"/>
          <w:sz w:val="20"/>
          <w:szCs w:val="20"/>
          <w:lang w:val="en-US"/>
        </w:rPr>
        <w:t xml:space="preserve"> by </w:t>
      </w:r>
      <w:r>
        <w:rPr>
          <w:rFonts w:ascii="Arial" w:hAnsi="Arial" w:cs="Arial"/>
          <w:sz w:val="20"/>
          <w:szCs w:val="20"/>
          <w:lang w:val="en-US"/>
        </w:rPr>
        <w:t>the</w:t>
      </w:r>
      <w:r w:rsidRPr="008759A2">
        <w:rPr>
          <w:rFonts w:ascii="Arial" w:hAnsi="Arial" w:cs="Arial"/>
          <w:sz w:val="20"/>
          <w:szCs w:val="20"/>
          <w:lang w:val="en-US"/>
        </w:rPr>
        <w:t xml:space="preserve"> scale and criteria</w:t>
      </w:r>
      <w:r>
        <w:rPr>
          <w:rFonts w:ascii="Arial" w:hAnsi="Arial" w:cs="Arial"/>
          <w:sz w:val="20"/>
          <w:szCs w:val="20"/>
          <w:lang w:val="en-US"/>
        </w:rPr>
        <w:t xml:space="preserve"> in the table below:</w:t>
      </w:r>
    </w:p>
    <w:p w14:paraId="53DF1AC8" w14:textId="31135235" w:rsidR="003157E4" w:rsidRPr="003157E4" w:rsidRDefault="003157E4" w:rsidP="003157E4">
      <w:pPr>
        <w:spacing w:after="0"/>
        <w:rPr>
          <w:rFonts w:ascii="Arial" w:hAnsi="Arial" w:cs="Arial"/>
          <w:sz w:val="20"/>
          <w:szCs w:val="20"/>
        </w:rPr>
      </w:pPr>
    </w:p>
    <w:p w14:paraId="00B97B86" w14:textId="449903FE" w:rsidR="008759A2" w:rsidRDefault="008759A2" w:rsidP="008759A2">
      <w:pPr>
        <w:pStyle w:val="Caption"/>
        <w:keepNext/>
      </w:pPr>
      <w:r>
        <w:t xml:space="preserve">Table </w:t>
      </w:r>
      <w:fldSimple w:instr=" SEQ Table \* ARABIC ">
        <w:r w:rsidR="00C1597B">
          <w:rPr>
            <w:noProof/>
          </w:rPr>
          <w:t>5</w:t>
        </w:r>
      </w:fldSimple>
      <w:r>
        <w:t>: Sustainability criteria and ranking rubric as per GPSA MERL Guide</w:t>
      </w:r>
    </w:p>
    <w:tbl>
      <w:tblPr>
        <w:tblW w:w="9540" w:type="dxa"/>
        <w:tblLook w:val="04A0" w:firstRow="1" w:lastRow="0" w:firstColumn="1" w:lastColumn="0" w:noHBand="0" w:noVBand="1"/>
      </w:tblPr>
      <w:tblGrid>
        <w:gridCol w:w="1000"/>
        <w:gridCol w:w="8540"/>
      </w:tblGrid>
      <w:tr w:rsidR="003157E4" w:rsidRPr="003157E4" w14:paraId="101A73D0" w14:textId="77777777" w:rsidTr="003157E4">
        <w:trPr>
          <w:trHeight w:val="305"/>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B3C232" w14:textId="77777777" w:rsidR="003157E4" w:rsidRPr="003157E4" w:rsidRDefault="003157E4" w:rsidP="003157E4">
            <w:pPr>
              <w:spacing w:after="0" w:line="240" w:lineRule="auto"/>
              <w:jc w:val="both"/>
              <w:rPr>
                <w:rFonts w:ascii="Arial" w:eastAsia="Times New Roman" w:hAnsi="Arial" w:cs="Arial"/>
                <w:b/>
                <w:bCs/>
                <w:color w:val="000000"/>
                <w:sz w:val="20"/>
                <w:szCs w:val="20"/>
                <w:lang w:eastAsia="en-CA"/>
              </w:rPr>
            </w:pPr>
            <w:r w:rsidRPr="003157E4">
              <w:rPr>
                <w:rFonts w:ascii="Arial" w:eastAsia="Times New Roman" w:hAnsi="Arial" w:cs="Arial"/>
                <w:b/>
                <w:bCs/>
                <w:color w:val="000000"/>
                <w:sz w:val="20"/>
                <w:szCs w:val="20"/>
                <w:lang w:eastAsia="en-CA"/>
              </w:rPr>
              <w:t>Score</w:t>
            </w:r>
          </w:p>
        </w:tc>
        <w:tc>
          <w:tcPr>
            <w:tcW w:w="8540" w:type="dxa"/>
            <w:tcBorders>
              <w:top w:val="single" w:sz="8" w:space="0" w:color="auto"/>
              <w:left w:val="nil"/>
              <w:bottom w:val="single" w:sz="8" w:space="0" w:color="auto"/>
              <w:right w:val="single" w:sz="8" w:space="0" w:color="auto"/>
            </w:tcBorders>
            <w:shd w:val="clear" w:color="auto" w:fill="auto"/>
            <w:vAlign w:val="center"/>
            <w:hideMark/>
          </w:tcPr>
          <w:p w14:paraId="0E2DDA40" w14:textId="77777777" w:rsidR="003157E4" w:rsidRPr="003157E4" w:rsidRDefault="003157E4" w:rsidP="003157E4">
            <w:pPr>
              <w:spacing w:after="0" w:line="240" w:lineRule="auto"/>
              <w:jc w:val="both"/>
              <w:rPr>
                <w:rFonts w:ascii="Arial" w:eastAsia="Times New Roman" w:hAnsi="Arial" w:cs="Arial"/>
                <w:b/>
                <w:bCs/>
                <w:color w:val="000000"/>
                <w:sz w:val="20"/>
                <w:szCs w:val="20"/>
                <w:lang w:eastAsia="en-CA"/>
              </w:rPr>
            </w:pPr>
            <w:r w:rsidRPr="003157E4">
              <w:rPr>
                <w:rFonts w:ascii="Arial" w:eastAsia="Times New Roman" w:hAnsi="Arial" w:cs="Arial"/>
                <w:b/>
                <w:bCs/>
                <w:color w:val="000000"/>
                <w:sz w:val="20"/>
                <w:szCs w:val="20"/>
                <w:lang w:eastAsia="en-CA"/>
              </w:rPr>
              <w:t>Description</w:t>
            </w:r>
          </w:p>
        </w:tc>
      </w:tr>
      <w:tr w:rsidR="003157E4" w:rsidRPr="003157E4" w14:paraId="54F7B31A" w14:textId="77777777" w:rsidTr="003157E4">
        <w:trPr>
          <w:trHeight w:val="810"/>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61D9ACA1"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1</w:t>
            </w:r>
          </w:p>
        </w:tc>
        <w:tc>
          <w:tcPr>
            <w:tcW w:w="8540" w:type="dxa"/>
            <w:tcBorders>
              <w:top w:val="nil"/>
              <w:left w:val="nil"/>
              <w:bottom w:val="nil"/>
              <w:right w:val="single" w:sz="8" w:space="0" w:color="auto"/>
            </w:tcBorders>
            <w:shd w:val="clear" w:color="auto" w:fill="auto"/>
            <w:vAlign w:val="center"/>
            <w:hideMark/>
          </w:tcPr>
          <w:p w14:paraId="76C093EC"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No evidence of any use/application/adaptation of element(s) of or insights from a collaborative social accountability process by any priority stakeholders and/or public sector institutions. No evidence of stakeholder interest, dialogue of alignment evidenced.</w:t>
            </w:r>
          </w:p>
        </w:tc>
      </w:tr>
      <w:tr w:rsidR="003157E4" w:rsidRPr="003157E4" w14:paraId="33D3EFA7" w14:textId="77777777" w:rsidTr="003157E4">
        <w:trPr>
          <w:trHeight w:val="553"/>
        </w:trPr>
        <w:tc>
          <w:tcPr>
            <w:tcW w:w="1000" w:type="dxa"/>
            <w:vMerge/>
            <w:tcBorders>
              <w:top w:val="nil"/>
              <w:left w:val="single" w:sz="8" w:space="0" w:color="auto"/>
              <w:bottom w:val="single" w:sz="8" w:space="0" w:color="000000"/>
              <w:right w:val="single" w:sz="8" w:space="0" w:color="auto"/>
            </w:tcBorders>
            <w:vAlign w:val="center"/>
            <w:hideMark/>
          </w:tcPr>
          <w:p w14:paraId="1E9CBD05" w14:textId="77777777" w:rsidR="003157E4" w:rsidRPr="003157E4" w:rsidRDefault="003157E4" w:rsidP="003157E4">
            <w:pPr>
              <w:spacing w:after="0" w:line="240" w:lineRule="auto"/>
              <w:rPr>
                <w:rFonts w:ascii="Arial" w:eastAsia="Times New Roman" w:hAnsi="Arial" w:cs="Arial"/>
                <w:color w:val="000000"/>
                <w:sz w:val="20"/>
                <w:szCs w:val="20"/>
                <w:lang w:eastAsia="en-CA"/>
              </w:rPr>
            </w:pPr>
          </w:p>
        </w:tc>
        <w:tc>
          <w:tcPr>
            <w:tcW w:w="8540" w:type="dxa"/>
            <w:tcBorders>
              <w:top w:val="nil"/>
              <w:left w:val="nil"/>
              <w:bottom w:val="single" w:sz="8" w:space="0" w:color="auto"/>
              <w:right w:val="single" w:sz="8" w:space="0" w:color="auto"/>
            </w:tcBorders>
            <w:shd w:val="clear" w:color="auto" w:fill="auto"/>
            <w:vAlign w:val="center"/>
            <w:hideMark/>
          </w:tcPr>
          <w:p w14:paraId="7E0C2AD4"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The unit of measurement for this indicator in the Results Framework is %. Therefore, a score of 0% would be provided for the indicator in the Results Framework and considered as ‘no uptake’.</w:t>
            </w:r>
          </w:p>
        </w:tc>
      </w:tr>
      <w:tr w:rsidR="003157E4" w:rsidRPr="003157E4" w14:paraId="6A4636C2" w14:textId="77777777" w:rsidTr="003157E4">
        <w:trPr>
          <w:trHeight w:val="540"/>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649DB9CD"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2</w:t>
            </w:r>
          </w:p>
        </w:tc>
        <w:tc>
          <w:tcPr>
            <w:tcW w:w="8540" w:type="dxa"/>
            <w:tcBorders>
              <w:top w:val="nil"/>
              <w:left w:val="nil"/>
              <w:bottom w:val="nil"/>
              <w:right w:val="single" w:sz="8" w:space="0" w:color="auto"/>
            </w:tcBorders>
            <w:shd w:val="clear" w:color="auto" w:fill="auto"/>
            <w:vAlign w:val="center"/>
            <w:hideMark/>
          </w:tcPr>
          <w:p w14:paraId="11EDC90A"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Evidence of interest by priority stakeholders and/or public sector institutions expressed publicly or privately about learning from a collaborative social accountability process in the project.</w:t>
            </w:r>
          </w:p>
        </w:tc>
      </w:tr>
      <w:tr w:rsidR="003157E4" w:rsidRPr="003157E4" w14:paraId="695BC033" w14:textId="77777777" w:rsidTr="003157E4">
        <w:trPr>
          <w:trHeight w:val="305"/>
        </w:trPr>
        <w:tc>
          <w:tcPr>
            <w:tcW w:w="1000" w:type="dxa"/>
            <w:vMerge/>
            <w:tcBorders>
              <w:top w:val="nil"/>
              <w:left w:val="single" w:sz="8" w:space="0" w:color="auto"/>
              <w:bottom w:val="single" w:sz="8" w:space="0" w:color="000000"/>
              <w:right w:val="single" w:sz="8" w:space="0" w:color="auto"/>
            </w:tcBorders>
            <w:vAlign w:val="center"/>
            <w:hideMark/>
          </w:tcPr>
          <w:p w14:paraId="5E6C3CEA" w14:textId="77777777" w:rsidR="003157E4" w:rsidRPr="003157E4" w:rsidRDefault="003157E4" w:rsidP="003157E4">
            <w:pPr>
              <w:spacing w:after="0" w:line="240" w:lineRule="auto"/>
              <w:rPr>
                <w:rFonts w:ascii="Arial" w:eastAsia="Times New Roman" w:hAnsi="Arial" w:cs="Arial"/>
                <w:color w:val="000000"/>
                <w:sz w:val="20"/>
                <w:szCs w:val="20"/>
                <w:lang w:eastAsia="en-CA"/>
              </w:rPr>
            </w:pPr>
          </w:p>
        </w:tc>
        <w:tc>
          <w:tcPr>
            <w:tcW w:w="8540" w:type="dxa"/>
            <w:tcBorders>
              <w:top w:val="nil"/>
              <w:left w:val="nil"/>
              <w:bottom w:val="single" w:sz="8" w:space="0" w:color="auto"/>
              <w:right w:val="single" w:sz="8" w:space="0" w:color="auto"/>
            </w:tcBorders>
            <w:shd w:val="clear" w:color="auto" w:fill="auto"/>
            <w:vAlign w:val="center"/>
            <w:hideMark/>
          </w:tcPr>
          <w:p w14:paraId="7969C29B"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In this instance, a score of 25% would be provided for the indicator in the Results Framework.</w:t>
            </w:r>
          </w:p>
        </w:tc>
      </w:tr>
      <w:tr w:rsidR="003157E4" w:rsidRPr="003157E4" w14:paraId="66BE63D4" w14:textId="77777777" w:rsidTr="003157E4">
        <w:trPr>
          <w:trHeight w:val="1080"/>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7FE94328"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3</w:t>
            </w:r>
          </w:p>
        </w:tc>
        <w:tc>
          <w:tcPr>
            <w:tcW w:w="8540" w:type="dxa"/>
            <w:tcBorders>
              <w:top w:val="nil"/>
              <w:left w:val="nil"/>
              <w:bottom w:val="nil"/>
              <w:right w:val="single" w:sz="8" w:space="0" w:color="auto"/>
            </w:tcBorders>
            <w:shd w:val="clear" w:color="auto" w:fill="auto"/>
            <w:vAlign w:val="center"/>
            <w:hideMark/>
          </w:tcPr>
          <w:p w14:paraId="32C2658B" w14:textId="77777777" w:rsidR="003157E4" w:rsidRPr="003157E4" w:rsidRDefault="003157E4" w:rsidP="003157E4">
            <w:pPr>
              <w:spacing w:after="0" w:line="240" w:lineRule="auto"/>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Evidence that priority stakeholders and/or public sector institutions have expressed where to adopt, adapt and/or sustain elements or insights from a collaborative social accountability process and how this could be incorporated in some way into other operations, programs, policies (i.e., concrete entry points have been identified).</w:t>
            </w:r>
          </w:p>
        </w:tc>
      </w:tr>
      <w:tr w:rsidR="003157E4" w:rsidRPr="003157E4" w14:paraId="74251471" w14:textId="77777777" w:rsidTr="003157E4">
        <w:trPr>
          <w:trHeight w:val="305"/>
        </w:trPr>
        <w:tc>
          <w:tcPr>
            <w:tcW w:w="1000" w:type="dxa"/>
            <w:vMerge/>
            <w:tcBorders>
              <w:top w:val="nil"/>
              <w:left w:val="single" w:sz="8" w:space="0" w:color="auto"/>
              <w:bottom w:val="single" w:sz="8" w:space="0" w:color="000000"/>
              <w:right w:val="single" w:sz="8" w:space="0" w:color="auto"/>
            </w:tcBorders>
            <w:vAlign w:val="center"/>
            <w:hideMark/>
          </w:tcPr>
          <w:p w14:paraId="3108B028" w14:textId="77777777" w:rsidR="003157E4" w:rsidRPr="003157E4" w:rsidRDefault="003157E4" w:rsidP="003157E4">
            <w:pPr>
              <w:spacing w:after="0" w:line="240" w:lineRule="auto"/>
              <w:rPr>
                <w:rFonts w:ascii="Arial" w:eastAsia="Times New Roman" w:hAnsi="Arial" w:cs="Arial"/>
                <w:color w:val="000000"/>
                <w:sz w:val="20"/>
                <w:szCs w:val="20"/>
                <w:lang w:eastAsia="en-CA"/>
              </w:rPr>
            </w:pPr>
          </w:p>
        </w:tc>
        <w:tc>
          <w:tcPr>
            <w:tcW w:w="8540" w:type="dxa"/>
            <w:tcBorders>
              <w:top w:val="nil"/>
              <w:left w:val="nil"/>
              <w:bottom w:val="single" w:sz="8" w:space="0" w:color="auto"/>
              <w:right w:val="single" w:sz="8" w:space="0" w:color="auto"/>
            </w:tcBorders>
            <w:shd w:val="clear" w:color="auto" w:fill="auto"/>
            <w:vAlign w:val="center"/>
            <w:hideMark/>
          </w:tcPr>
          <w:p w14:paraId="355AB6D7"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 xml:space="preserve">In this instance, a score of 50% would be provided for the indicator in the Results Framework </w:t>
            </w:r>
          </w:p>
        </w:tc>
      </w:tr>
      <w:tr w:rsidR="003157E4" w:rsidRPr="003157E4" w14:paraId="4A6E20C8" w14:textId="77777777" w:rsidTr="003157E4">
        <w:trPr>
          <w:trHeight w:val="810"/>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4D8E380C"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4</w:t>
            </w:r>
          </w:p>
        </w:tc>
        <w:tc>
          <w:tcPr>
            <w:tcW w:w="8540" w:type="dxa"/>
            <w:tcBorders>
              <w:top w:val="nil"/>
              <w:left w:val="nil"/>
              <w:bottom w:val="nil"/>
              <w:right w:val="single" w:sz="8" w:space="0" w:color="auto"/>
            </w:tcBorders>
            <w:shd w:val="clear" w:color="auto" w:fill="auto"/>
            <w:vAlign w:val="center"/>
            <w:hideMark/>
          </w:tcPr>
          <w:p w14:paraId="64090E15"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Evidence of dialogue with priority stakeholders and/or public sector institutions on how to adopt, adapt and/or sustain elements of the CSA process in future operations, policies, or programs.</w:t>
            </w:r>
          </w:p>
        </w:tc>
      </w:tr>
      <w:tr w:rsidR="003157E4" w:rsidRPr="003157E4" w14:paraId="30E0622E" w14:textId="77777777" w:rsidTr="003157E4">
        <w:trPr>
          <w:trHeight w:val="553"/>
        </w:trPr>
        <w:tc>
          <w:tcPr>
            <w:tcW w:w="1000" w:type="dxa"/>
            <w:vMerge/>
            <w:tcBorders>
              <w:top w:val="nil"/>
              <w:left w:val="single" w:sz="8" w:space="0" w:color="auto"/>
              <w:bottom w:val="single" w:sz="8" w:space="0" w:color="000000"/>
              <w:right w:val="single" w:sz="8" w:space="0" w:color="auto"/>
            </w:tcBorders>
            <w:vAlign w:val="center"/>
            <w:hideMark/>
          </w:tcPr>
          <w:p w14:paraId="42B62676" w14:textId="77777777" w:rsidR="003157E4" w:rsidRPr="003157E4" w:rsidRDefault="003157E4" w:rsidP="003157E4">
            <w:pPr>
              <w:spacing w:after="0" w:line="240" w:lineRule="auto"/>
              <w:rPr>
                <w:rFonts w:ascii="Arial" w:eastAsia="Times New Roman" w:hAnsi="Arial" w:cs="Arial"/>
                <w:color w:val="000000"/>
                <w:sz w:val="20"/>
                <w:szCs w:val="20"/>
                <w:lang w:eastAsia="en-CA"/>
              </w:rPr>
            </w:pPr>
          </w:p>
        </w:tc>
        <w:tc>
          <w:tcPr>
            <w:tcW w:w="8540" w:type="dxa"/>
            <w:tcBorders>
              <w:top w:val="nil"/>
              <w:left w:val="nil"/>
              <w:bottom w:val="single" w:sz="8" w:space="0" w:color="auto"/>
              <w:right w:val="single" w:sz="8" w:space="0" w:color="auto"/>
            </w:tcBorders>
            <w:shd w:val="clear" w:color="auto" w:fill="auto"/>
            <w:vAlign w:val="center"/>
            <w:hideMark/>
          </w:tcPr>
          <w:p w14:paraId="60EE4BD7"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 xml:space="preserve">In this instance, a score of 75% would be provided for the indicator in the Results Framework  </w:t>
            </w:r>
          </w:p>
        </w:tc>
      </w:tr>
      <w:tr w:rsidR="003157E4" w:rsidRPr="003157E4" w14:paraId="0FD1EEF7" w14:textId="77777777" w:rsidTr="003157E4">
        <w:trPr>
          <w:trHeight w:val="810"/>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2B2347D8"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5</w:t>
            </w:r>
          </w:p>
        </w:tc>
        <w:tc>
          <w:tcPr>
            <w:tcW w:w="8540" w:type="dxa"/>
            <w:tcBorders>
              <w:top w:val="nil"/>
              <w:left w:val="nil"/>
              <w:bottom w:val="nil"/>
              <w:right w:val="single" w:sz="8" w:space="0" w:color="auto"/>
            </w:tcBorders>
            <w:shd w:val="clear" w:color="auto" w:fill="auto"/>
            <w:vAlign w:val="center"/>
            <w:hideMark/>
          </w:tcPr>
          <w:p w14:paraId="0387E7BD"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 xml:space="preserve">Evidence of actions taken by priority stakeholders and/or public sector institutions on adoption, adapt and/or sustain elements of a collaborative social accountability process in other operations, policies, or programs. </w:t>
            </w:r>
          </w:p>
        </w:tc>
      </w:tr>
      <w:tr w:rsidR="003157E4" w:rsidRPr="003157E4" w14:paraId="05154030" w14:textId="77777777" w:rsidTr="003157E4">
        <w:trPr>
          <w:trHeight w:val="292"/>
        </w:trPr>
        <w:tc>
          <w:tcPr>
            <w:tcW w:w="1000" w:type="dxa"/>
            <w:vMerge/>
            <w:tcBorders>
              <w:top w:val="nil"/>
              <w:left w:val="single" w:sz="8" w:space="0" w:color="auto"/>
              <w:bottom w:val="single" w:sz="8" w:space="0" w:color="000000"/>
              <w:right w:val="single" w:sz="8" w:space="0" w:color="auto"/>
            </w:tcBorders>
            <w:vAlign w:val="center"/>
            <w:hideMark/>
          </w:tcPr>
          <w:p w14:paraId="4066DB92" w14:textId="77777777" w:rsidR="003157E4" w:rsidRPr="003157E4" w:rsidRDefault="003157E4" w:rsidP="003157E4">
            <w:pPr>
              <w:spacing w:after="0" w:line="240" w:lineRule="auto"/>
              <w:rPr>
                <w:rFonts w:ascii="Arial" w:eastAsia="Times New Roman" w:hAnsi="Arial" w:cs="Arial"/>
                <w:color w:val="000000"/>
                <w:sz w:val="20"/>
                <w:szCs w:val="20"/>
                <w:lang w:eastAsia="en-CA"/>
              </w:rPr>
            </w:pPr>
          </w:p>
        </w:tc>
        <w:tc>
          <w:tcPr>
            <w:tcW w:w="8540" w:type="dxa"/>
            <w:tcBorders>
              <w:top w:val="nil"/>
              <w:left w:val="nil"/>
              <w:bottom w:val="nil"/>
              <w:right w:val="single" w:sz="8" w:space="0" w:color="auto"/>
            </w:tcBorders>
            <w:shd w:val="clear" w:color="auto" w:fill="auto"/>
            <w:vAlign w:val="center"/>
            <w:hideMark/>
          </w:tcPr>
          <w:p w14:paraId="4502521F"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 xml:space="preserve">Triangulation of data with at least 2 sources of evidence to confirm is required. </w:t>
            </w:r>
          </w:p>
        </w:tc>
      </w:tr>
      <w:tr w:rsidR="003157E4" w:rsidRPr="003157E4" w14:paraId="722904DE" w14:textId="77777777" w:rsidTr="003157E4">
        <w:trPr>
          <w:trHeight w:val="553"/>
        </w:trPr>
        <w:tc>
          <w:tcPr>
            <w:tcW w:w="1000" w:type="dxa"/>
            <w:vMerge/>
            <w:tcBorders>
              <w:top w:val="nil"/>
              <w:left w:val="single" w:sz="8" w:space="0" w:color="auto"/>
              <w:bottom w:val="single" w:sz="8" w:space="0" w:color="000000"/>
              <w:right w:val="single" w:sz="8" w:space="0" w:color="auto"/>
            </w:tcBorders>
            <w:vAlign w:val="center"/>
            <w:hideMark/>
          </w:tcPr>
          <w:p w14:paraId="629A5603" w14:textId="77777777" w:rsidR="003157E4" w:rsidRPr="003157E4" w:rsidRDefault="003157E4" w:rsidP="003157E4">
            <w:pPr>
              <w:spacing w:after="0" w:line="240" w:lineRule="auto"/>
              <w:rPr>
                <w:rFonts w:ascii="Arial" w:eastAsia="Times New Roman" w:hAnsi="Arial" w:cs="Arial"/>
                <w:color w:val="000000"/>
                <w:sz w:val="20"/>
                <w:szCs w:val="20"/>
                <w:lang w:eastAsia="en-CA"/>
              </w:rPr>
            </w:pPr>
          </w:p>
        </w:tc>
        <w:tc>
          <w:tcPr>
            <w:tcW w:w="8540" w:type="dxa"/>
            <w:tcBorders>
              <w:top w:val="nil"/>
              <w:left w:val="nil"/>
              <w:bottom w:val="single" w:sz="8" w:space="0" w:color="auto"/>
              <w:right w:val="single" w:sz="8" w:space="0" w:color="auto"/>
            </w:tcBorders>
            <w:shd w:val="clear" w:color="auto" w:fill="auto"/>
            <w:vAlign w:val="center"/>
            <w:hideMark/>
          </w:tcPr>
          <w:p w14:paraId="55E2A035" w14:textId="77777777" w:rsidR="003157E4" w:rsidRPr="003157E4" w:rsidRDefault="003157E4" w:rsidP="003157E4">
            <w:pPr>
              <w:spacing w:after="0" w:line="240" w:lineRule="auto"/>
              <w:jc w:val="both"/>
              <w:rPr>
                <w:rFonts w:ascii="Arial" w:eastAsia="Times New Roman" w:hAnsi="Arial" w:cs="Arial"/>
                <w:color w:val="000000"/>
                <w:sz w:val="20"/>
                <w:szCs w:val="20"/>
                <w:lang w:eastAsia="en-CA"/>
              </w:rPr>
            </w:pPr>
            <w:r w:rsidRPr="003157E4">
              <w:rPr>
                <w:rFonts w:ascii="Arial" w:eastAsia="Times New Roman" w:hAnsi="Arial" w:cs="Arial"/>
                <w:color w:val="000000"/>
                <w:sz w:val="20"/>
                <w:szCs w:val="20"/>
                <w:lang w:eastAsia="en-CA"/>
              </w:rPr>
              <w:t xml:space="preserve">In this instance, a score of 100% would be provided for the indicator in the Results Framework  </w:t>
            </w:r>
          </w:p>
        </w:tc>
      </w:tr>
    </w:tbl>
    <w:p w14:paraId="4D459624" w14:textId="52E38501" w:rsidR="003157E4" w:rsidRDefault="003157E4" w:rsidP="003157E4">
      <w:pPr>
        <w:spacing w:after="0"/>
        <w:rPr>
          <w:rFonts w:ascii="Arial" w:hAnsi="Arial" w:cs="Arial"/>
          <w:sz w:val="20"/>
          <w:szCs w:val="20"/>
        </w:rPr>
      </w:pPr>
    </w:p>
    <w:p w14:paraId="1544E505" w14:textId="5D824005" w:rsidR="00752179" w:rsidRDefault="00752179" w:rsidP="003157E4">
      <w:pPr>
        <w:spacing w:after="0"/>
        <w:rPr>
          <w:rFonts w:ascii="Arial" w:hAnsi="Arial" w:cs="Arial"/>
          <w:sz w:val="20"/>
          <w:szCs w:val="20"/>
        </w:rPr>
      </w:pPr>
    </w:p>
    <w:p w14:paraId="09593F26" w14:textId="12C9AD2D" w:rsidR="008759A2" w:rsidRPr="008759A2" w:rsidRDefault="008759A2" w:rsidP="008759A2">
      <w:pPr>
        <w:spacing w:after="0"/>
        <w:rPr>
          <w:rFonts w:ascii="Arial" w:hAnsi="Arial" w:cs="Arial"/>
          <w:sz w:val="20"/>
          <w:szCs w:val="20"/>
        </w:rPr>
      </w:pPr>
      <w:r>
        <w:rPr>
          <w:rFonts w:ascii="Arial" w:hAnsi="Arial" w:cs="Arial"/>
          <w:sz w:val="20"/>
          <w:szCs w:val="20"/>
        </w:rPr>
        <w:t>Fo</w:t>
      </w:r>
      <w:r w:rsidRPr="008759A2">
        <w:rPr>
          <w:rFonts w:ascii="Arial" w:hAnsi="Arial" w:cs="Arial"/>
          <w:sz w:val="20"/>
          <w:szCs w:val="20"/>
        </w:rPr>
        <w:t xml:space="preserve">r each project, the coder used the available documentary evidence to find examples for the project making concrete efforts and taking specific measures to engage key stakeholders, programmes, policies etc. to find entry points, </w:t>
      </w:r>
      <w:proofErr w:type="gramStart"/>
      <w:r w:rsidRPr="008759A2">
        <w:rPr>
          <w:rFonts w:ascii="Arial" w:hAnsi="Arial" w:cs="Arial"/>
          <w:sz w:val="20"/>
          <w:szCs w:val="20"/>
        </w:rPr>
        <w:t>dialogue</w:t>
      </w:r>
      <w:proofErr w:type="gramEnd"/>
      <w:r w:rsidRPr="008759A2">
        <w:rPr>
          <w:rFonts w:ascii="Arial" w:hAnsi="Arial" w:cs="Arial"/>
          <w:sz w:val="20"/>
          <w:szCs w:val="20"/>
        </w:rPr>
        <w:t xml:space="preserve"> and opportunities for sustainability in different forms an ongoing basis (not just at the end of the project, but from the onset). Specific examples of sustainability in line with the GPSA criteria were also identified and where possible triangulated with both the reporting and the independent evaluations. Specific examples and quotes are provided in each of the project coding files with sources and page numbers.</w:t>
      </w:r>
    </w:p>
    <w:p w14:paraId="3FD85D09" w14:textId="5D46E460" w:rsidR="008759A2" w:rsidRDefault="008759A2" w:rsidP="008759A2">
      <w:pPr>
        <w:spacing w:after="0"/>
        <w:rPr>
          <w:rFonts w:ascii="Arial" w:hAnsi="Arial" w:cs="Arial"/>
          <w:sz w:val="20"/>
          <w:szCs w:val="20"/>
        </w:rPr>
      </w:pPr>
    </w:p>
    <w:p w14:paraId="1982F451" w14:textId="6C89A39F" w:rsidR="002D43D9" w:rsidRPr="002D43D9" w:rsidRDefault="002D43D9" w:rsidP="002D43D9">
      <w:pPr>
        <w:spacing w:after="0"/>
        <w:rPr>
          <w:rFonts w:ascii="Arial" w:hAnsi="Arial" w:cs="Arial"/>
          <w:sz w:val="20"/>
          <w:szCs w:val="20"/>
        </w:rPr>
      </w:pPr>
      <w:r w:rsidRPr="002D43D9">
        <w:rPr>
          <w:rFonts w:ascii="Arial" w:hAnsi="Arial" w:cs="Arial"/>
          <w:i/>
          <w:iCs/>
          <w:sz w:val="20"/>
          <w:szCs w:val="20"/>
        </w:rPr>
        <w:t>Limitations</w:t>
      </w:r>
      <w:r>
        <w:rPr>
          <w:rFonts w:ascii="Arial" w:hAnsi="Arial" w:cs="Arial"/>
          <w:sz w:val="20"/>
          <w:szCs w:val="20"/>
        </w:rPr>
        <w:t xml:space="preserve">: </w:t>
      </w:r>
      <w:r w:rsidRPr="002D43D9">
        <w:rPr>
          <w:rFonts w:ascii="Arial" w:hAnsi="Arial" w:cs="Arial"/>
          <w:sz w:val="20"/>
          <w:szCs w:val="20"/>
        </w:rPr>
        <w:t xml:space="preserve">It is important to note that this indicator and the assessed scores provided represent a projection of the likelihood of public sector institutions applying or sustaining lessons from or elements of the social accountability process after the project life.  This is based on signs of sustainability and uptake, drawn from the evidence collected each year; emphasis is not limited to the final evaluation.  The “seek </w:t>
      </w:r>
      <w:r w:rsidRPr="002D43D9">
        <w:rPr>
          <w:rFonts w:ascii="Arial" w:hAnsi="Arial" w:cs="Arial"/>
          <w:sz w:val="20"/>
          <w:szCs w:val="20"/>
        </w:rPr>
        <w:lastRenderedPageBreak/>
        <w:t>to” is a key part of this indicator statement; the uptake of GPSA projects is contingent, in that it can be introduced but not sustained by the project after the end date</w:t>
      </w:r>
      <w:r w:rsidR="00665343">
        <w:rPr>
          <w:rFonts w:ascii="Arial" w:hAnsi="Arial" w:cs="Arial"/>
          <w:sz w:val="20"/>
          <w:szCs w:val="20"/>
        </w:rPr>
        <w:t xml:space="preserve"> (alternatively the opposite can be true with sustainability/scale-up results taking place post-project; however it requires follow-up to verify and track these developments which is often unfeasible with GPSA final evaluation/ICR timelines and available resources)</w:t>
      </w:r>
      <w:r w:rsidRPr="002D43D9">
        <w:rPr>
          <w:rFonts w:ascii="Arial" w:hAnsi="Arial" w:cs="Arial"/>
          <w:sz w:val="20"/>
          <w:szCs w:val="20"/>
        </w:rPr>
        <w:t>. It is unrealistic for the allocated time</w:t>
      </w:r>
      <w:r w:rsidR="00665343">
        <w:rPr>
          <w:rFonts w:ascii="Arial" w:hAnsi="Arial" w:cs="Arial"/>
          <w:sz w:val="20"/>
          <w:szCs w:val="20"/>
        </w:rPr>
        <w:t xml:space="preserve">, </w:t>
      </w:r>
      <w:r w:rsidRPr="002D43D9">
        <w:rPr>
          <w:rFonts w:ascii="Arial" w:hAnsi="Arial" w:cs="Arial"/>
          <w:sz w:val="20"/>
          <w:szCs w:val="20"/>
        </w:rPr>
        <w:t>resources</w:t>
      </w:r>
      <w:r w:rsidR="00665343">
        <w:rPr>
          <w:rFonts w:ascii="Arial" w:hAnsi="Arial" w:cs="Arial"/>
          <w:sz w:val="20"/>
          <w:szCs w:val="20"/>
        </w:rPr>
        <w:t>, and b</w:t>
      </w:r>
      <w:r w:rsidRPr="002D43D9">
        <w:rPr>
          <w:rFonts w:ascii="Arial" w:hAnsi="Arial" w:cs="Arial"/>
          <w:sz w:val="20"/>
          <w:szCs w:val="20"/>
        </w:rPr>
        <w:t>udget invested in GPSA projects to expect and results in wholesale</w:t>
      </w:r>
      <w:r w:rsidR="00665343">
        <w:rPr>
          <w:rFonts w:ascii="Arial" w:hAnsi="Arial" w:cs="Arial"/>
          <w:sz w:val="20"/>
          <w:szCs w:val="20"/>
        </w:rPr>
        <w:t xml:space="preserve"> uptake and </w:t>
      </w:r>
      <w:r w:rsidRPr="002D43D9">
        <w:rPr>
          <w:rFonts w:ascii="Arial" w:hAnsi="Arial" w:cs="Arial"/>
          <w:sz w:val="20"/>
          <w:szCs w:val="20"/>
        </w:rPr>
        <w:t xml:space="preserve">institutionalization; </w:t>
      </w:r>
      <w:r w:rsidR="00772B25" w:rsidRPr="002D43D9">
        <w:rPr>
          <w:rFonts w:ascii="Arial" w:hAnsi="Arial" w:cs="Arial"/>
          <w:sz w:val="20"/>
          <w:szCs w:val="20"/>
        </w:rPr>
        <w:t>success for</w:t>
      </w:r>
      <w:r w:rsidRPr="002D43D9">
        <w:rPr>
          <w:rFonts w:ascii="Arial" w:hAnsi="Arial" w:cs="Arial"/>
          <w:sz w:val="20"/>
          <w:szCs w:val="20"/>
        </w:rPr>
        <w:t xml:space="preserve"> GPSA in terms of sustainability can be many things.</w:t>
      </w:r>
      <w:r w:rsidR="00665343">
        <w:rPr>
          <w:rFonts w:ascii="Arial" w:hAnsi="Arial" w:cs="Arial"/>
          <w:sz w:val="20"/>
          <w:szCs w:val="20"/>
        </w:rPr>
        <w:t xml:space="preserve"> </w:t>
      </w:r>
    </w:p>
    <w:p w14:paraId="4FE39114" w14:textId="77777777" w:rsidR="002D43D9" w:rsidRPr="002D43D9" w:rsidRDefault="002D43D9" w:rsidP="002D43D9">
      <w:pPr>
        <w:spacing w:after="0"/>
        <w:rPr>
          <w:rFonts w:ascii="Arial" w:hAnsi="Arial" w:cs="Arial"/>
          <w:sz w:val="20"/>
          <w:szCs w:val="20"/>
        </w:rPr>
      </w:pPr>
    </w:p>
    <w:p w14:paraId="68419B4F" w14:textId="61357883" w:rsidR="002D43D9" w:rsidRPr="002D43D9" w:rsidRDefault="002D43D9" w:rsidP="002D43D9">
      <w:pPr>
        <w:spacing w:after="0"/>
        <w:rPr>
          <w:rFonts w:ascii="Arial" w:hAnsi="Arial" w:cs="Arial"/>
          <w:sz w:val="20"/>
          <w:szCs w:val="20"/>
        </w:rPr>
      </w:pPr>
      <w:r w:rsidRPr="002D43D9">
        <w:rPr>
          <w:rFonts w:ascii="Arial" w:hAnsi="Arial" w:cs="Arial"/>
          <w:sz w:val="20"/>
          <w:szCs w:val="20"/>
        </w:rPr>
        <w:t xml:space="preserve">The GPSA designed the project/portfolio Results Framework and MERL guide </w:t>
      </w:r>
      <w:r w:rsidR="00772B25" w:rsidRPr="002D43D9">
        <w:rPr>
          <w:rFonts w:ascii="Arial" w:hAnsi="Arial" w:cs="Arial"/>
          <w:sz w:val="20"/>
          <w:szCs w:val="20"/>
        </w:rPr>
        <w:t>e.g.,</w:t>
      </w:r>
      <w:r w:rsidRPr="002D43D9">
        <w:rPr>
          <w:rFonts w:ascii="Arial" w:hAnsi="Arial" w:cs="Arial"/>
          <w:sz w:val="20"/>
          <w:szCs w:val="20"/>
        </w:rPr>
        <w:t xml:space="preserve"> indicators, to a focus on </w:t>
      </w:r>
      <w:r w:rsidR="00772B25" w:rsidRPr="002D43D9">
        <w:rPr>
          <w:rFonts w:ascii="Arial" w:hAnsi="Arial" w:cs="Arial"/>
          <w:sz w:val="20"/>
          <w:szCs w:val="20"/>
        </w:rPr>
        <w:t>function</w:t>
      </w:r>
      <w:r w:rsidRPr="002D43D9">
        <w:rPr>
          <w:rFonts w:ascii="Arial" w:hAnsi="Arial" w:cs="Arial"/>
          <w:sz w:val="20"/>
          <w:szCs w:val="20"/>
        </w:rPr>
        <w:t xml:space="preserve"> and </w:t>
      </w:r>
      <w:r w:rsidR="00772B25" w:rsidRPr="002D43D9">
        <w:rPr>
          <w:rFonts w:ascii="Arial" w:hAnsi="Arial" w:cs="Arial"/>
          <w:sz w:val="20"/>
          <w:szCs w:val="20"/>
        </w:rPr>
        <w:t>processes</w:t>
      </w:r>
      <w:r w:rsidRPr="002D43D9">
        <w:rPr>
          <w:rFonts w:ascii="Arial" w:hAnsi="Arial" w:cs="Arial"/>
          <w:sz w:val="20"/>
          <w:szCs w:val="20"/>
        </w:rPr>
        <w:t xml:space="preserve"> </w:t>
      </w:r>
      <w:r w:rsidR="00FA5D7E" w:rsidRPr="002D43D9">
        <w:rPr>
          <w:rFonts w:ascii="Arial" w:hAnsi="Arial" w:cs="Arial"/>
          <w:sz w:val="20"/>
          <w:szCs w:val="20"/>
        </w:rPr>
        <w:t>do not form</w:t>
      </w:r>
      <w:r w:rsidRPr="002D43D9">
        <w:rPr>
          <w:rFonts w:ascii="Arial" w:hAnsi="Arial" w:cs="Arial"/>
          <w:sz w:val="20"/>
          <w:szCs w:val="20"/>
        </w:rPr>
        <w:t xml:space="preserve">. The number and ambition of indicators risks creating incentives for the project team to invest in activities to checkboxes and reach targets, rather than invest efforts in an effective way. </w:t>
      </w:r>
      <w:r w:rsidR="00665343">
        <w:rPr>
          <w:rFonts w:ascii="Arial" w:hAnsi="Arial" w:cs="Arial"/>
          <w:sz w:val="20"/>
          <w:szCs w:val="20"/>
        </w:rPr>
        <w:t xml:space="preserve">Furthermore, it is also the aim of the GPSA to foster adaptive learning across the projects and </w:t>
      </w:r>
      <w:r w:rsidR="007C2D8C">
        <w:rPr>
          <w:rFonts w:ascii="Arial" w:hAnsi="Arial" w:cs="Arial"/>
          <w:sz w:val="20"/>
          <w:szCs w:val="20"/>
        </w:rPr>
        <w:t>it is therefore important to leave room for flexibility and changes to CSA approaches that are adapted to a given context, based on MERL evidence, rather than standardizing forms of CSA which may not be suitable.</w:t>
      </w:r>
    </w:p>
    <w:p w14:paraId="37F006E2" w14:textId="77777777" w:rsidR="002D43D9" w:rsidRPr="002D43D9" w:rsidRDefault="002D43D9" w:rsidP="002D43D9">
      <w:pPr>
        <w:spacing w:after="0"/>
        <w:rPr>
          <w:rFonts w:ascii="Arial" w:hAnsi="Arial" w:cs="Arial"/>
          <w:sz w:val="20"/>
          <w:szCs w:val="20"/>
        </w:rPr>
      </w:pPr>
    </w:p>
    <w:p w14:paraId="3B16E7A3" w14:textId="75F3E857" w:rsidR="007C2D8C" w:rsidRDefault="002D43D9" w:rsidP="002D43D9">
      <w:pPr>
        <w:spacing w:after="0"/>
        <w:rPr>
          <w:rFonts w:ascii="Arial" w:hAnsi="Arial" w:cs="Arial"/>
          <w:sz w:val="20"/>
          <w:szCs w:val="20"/>
        </w:rPr>
      </w:pPr>
      <w:r w:rsidRPr="002D43D9">
        <w:rPr>
          <w:rFonts w:ascii="Arial" w:hAnsi="Arial" w:cs="Arial"/>
          <w:sz w:val="20"/>
          <w:szCs w:val="20"/>
        </w:rPr>
        <w:t xml:space="preserve">The assessment scale for this outcome indicator in the MERL Guide is experimental and being tested (as with all the criteria) and as there is such a wide range of potential options for sustainability to be met, </w:t>
      </w:r>
      <w:r w:rsidR="007C2D8C">
        <w:rPr>
          <w:rFonts w:ascii="Arial" w:hAnsi="Arial" w:cs="Arial"/>
          <w:sz w:val="20"/>
          <w:szCs w:val="20"/>
        </w:rPr>
        <w:t>detraining the sustainably</w:t>
      </w:r>
      <w:r w:rsidRPr="002D43D9">
        <w:rPr>
          <w:rFonts w:ascii="Arial" w:hAnsi="Arial" w:cs="Arial"/>
          <w:sz w:val="20"/>
          <w:szCs w:val="20"/>
        </w:rPr>
        <w:t xml:space="preserve"> </w:t>
      </w:r>
      <w:r w:rsidR="007C2D8C">
        <w:rPr>
          <w:rFonts w:ascii="Arial" w:hAnsi="Arial" w:cs="Arial"/>
          <w:sz w:val="20"/>
          <w:szCs w:val="20"/>
        </w:rPr>
        <w:t>scores for the sample projects included many different examples</w:t>
      </w:r>
      <w:r w:rsidRPr="002D43D9">
        <w:rPr>
          <w:rFonts w:ascii="Arial" w:hAnsi="Arial" w:cs="Arial"/>
          <w:sz w:val="20"/>
          <w:szCs w:val="20"/>
        </w:rPr>
        <w:t xml:space="preserve"> </w:t>
      </w:r>
      <w:r w:rsidR="007C2D8C">
        <w:rPr>
          <w:rFonts w:ascii="Arial" w:hAnsi="Arial" w:cs="Arial"/>
          <w:sz w:val="20"/>
          <w:szCs w:val="20"/>
        </w:rPr>
        <w:t>that are not the same</w:t>
      </w:r>
      <w:r w:rsidRPr="002D43D9">
        <w:rPr>
          <w:rFonts w:ascii="Arial" w:hAnsi="Arial" w:cs="Arial"/>
          <w:sz w:val="20"/>
          <w:szCs w:val="20"/>
        </w:rPr>
        <w:t xml:space="preserve"> </w:t>
      </w:r>
      <w:r w:rsidR="007C2D8C">
        <w:rPr>
          <w:rFonts w:ascii="Arial" w:hAnsi="Arial" w:cs="Arial"/>
          <w:sz w:val="20"/>
          <w:szCs w:val="20"/>
        </w:rPr>
        <w:t xml:space="preserve"> </w:t>
      </w:r>
      <w:r w:rsidRPr="002D43D9">
        <w:rPr>
          <w:rFonts w:ascii="Arial" w:hAnsi="Arial" w:cs="Arial"/>
          <w:sz w:val="20"/>
          <w:szCs w:val="20"/>
        </w:rPr>
        <w:t>(</w:t>
      </w:r>
      <w:r w:rsidR="00772B25" w:rsidRPr="002D43D9">
        <w:rPr>
          <w:rFonts w:ascii="Arial" w:hAnsi="Arial" w:cs="Arial"/>
          <w:sz w:val="20"/>
          <w:szCs w:val="20"/>
        </w:rPr>
        <w:t>i.e.,</w:t>
      </w:r>
      <w:r w:rsidRPr="002D43D9">
        <w:rPr>
          <w:rFonts w:ascii="Arial" w:hAnsi="Arial" w:cs="Arial"/>
          <w:sz w:val="20"/>
          <w:szCs w:val="20"/>
        </w:rPr>
        <w:t xml:space="preserve"> a score of 50% on one project may look quite different in form than a score of 50% on another). </w:t>
      </w:r>
    </w:p>
    <w:p w14:paraId="2C272F26" w14:textId="77777777" w:rsidR="007C2D8C" w:rsidRDefault="007C2D8C" w:rsidP="002D43D9">
      <w:pPr>
        <w:spacing w:after="0"/>
        <w:rPr>
          <w:rFonts w:ascii="Arial" w:hAnsi="Arial" w:cs="Arial"/>
          <w:sz w:val="20"/>
          <w:szCs w:val="20"/>
        </w:rPr>
      </w:pPr>
    </w:p>
    <w:p w14:paraId="0E44D622" w14:textId="51138D41" w:rsidR="002D43D9" w:rsidRPr="002D43D9" w:rsidRDefault="002D43D9" w:rsidP="002D43D9">
      <w:pPr>
        <w:spacing w:after="0"/>
        <w:rPr>
          <w:rFonts w:ascii="Arial" w:hAnsi="Arial" w:cs="Arial"/>
          <w:sz w:val="20"/>
          <w:szCs w:val="20"/>
        </w:rPr>
      </w:pPr>
      <w:r w:rsidRPr="002D43D9">
        <w:rPr>
          <w:rFonts w:ascii="Arial" w:hAnsi="Arial" w:cs="Arial"/>
          <w:sz w:val="20"/>
          <w:szCs w:val="20"/>
        </w:rPr>
        <w:t>As the documentary evidence available did not assign numerical or percentage scores to the projects in terms of sustainability</w:t>
      </w:r>
      <w:r w:rsidR="007C2D8C">
        <w:rPr>
          <w:rFonts w:ascii="Arial" w:hAnsi="Arial" w:cs="Arial"/>
          <w:sz w:val="20"/>
          <w:szCs w:val="20"/>
        </w:rPr>
        <w:t xml:space="preserve"> because this was not a requirement at the time of designing these projects</w:t>
      </w:r>
      <w:r w:rsidRPr="002D43D9">
        <w:rPr>
          <w:rFonts w:ascii="Arial" w:hAnsi="Arial" w:cs="Arial"/>
          <w:sz w:val="20"/>
          <w:szCs w:val="20"/>
        </w:rPr>
        <w:t>, the coder made</w:t>
      </w:r>
      <w:r w:rsidR="007C2D8C">
        <w:rPr>
          <w:rFonts w:ascii="Arial" w:hAnsi="Arial" w:cs="Arial"/>
          <w:sz w:val="20"/>
          <w:szCs w:val="20"/>
        </w:rPr>
        <w:t xml:space="preserve"> the</w:t>
      </w:r>
      <w:r w:rsidRPr="002D43D9">
        <w:rPr>
          <w:rFonts w:ascii="Arial" w:hAnsi="Arial" w:cs="Arial"/>
          <w:sz w:val="20"/>
          <w:szCs w:val="20"/>
        </w:rPr>
        <w:t xml:space="preserve"> assessments </w:t>
      </w:r>
      <w:r w:rsidR="007C2D8C">
        <w:rPr>
          <w:rFonts w:ascii="Arial" w:hAnsi="Arial" w:cs="Arial"/>
          <w:sz w:val="20"/>
          <w:szCs w:val="20"/>
        </w:rPr>
        <w:t xml:space="preserve">for this indicator </w:t>
      </w:r>
      <w:r w:rsidRPr="002D43D9">
        <w:rPr>
          <w:rFonts w:ascii="Arial" w:hAnsi="Arial" w:cs="Arial"/>
          <w:sz w:val="20"/>
          <w:szCs w:val="20"/>
        </w:rPr>
        <w:t>based on their judgement</w:t>
      </w:r>
      <w:r w:rsidR="007C2D8C">
        <w:rPr>
          <w:rFonts w:ascii="Arial" w:hAnsi="Arial" w:cs="Arial"/>
          <w:sz w:val="20"/>
          <w:szCs w:val="20"/>
        </w:rPr>
        <w:t>;</w:t>
      </w:r>
      <w:r w:rsidRPr="002D43D9">
        <w:rPr>
          <w:rFonts w:ascii="Arial" w:hAnsi="Arial" w:cs="Arial"/>
          <w:sz w:val="20"/>
          <w:szCs w:val="20"/>
        </w:rPr>
        <w:t xml:space="preserve"> the defined GPSA criteria</w:t>
      </w:r>
      <w:r w:rsidR="007C2D8C">
        <w:rPr>
          <w:rFonts w:ascii="Arial" w:hAnsi="Arial" w:cs="Arial"/>
          <w:sz w:val="20"/>
          <w:szCs w:val="20"/>
        </w:rPr>
        <w:t>;</w:t>
      </w:r>
      <w:r w:rsidRPr="002D43D9">
        <w:rPr>
          <w:rFonts w:ascii="Arial" w:hAnsi="Arial" w:cs="Arial"/>
          <w:sz w:val="20"/>
          <w:szCs w:val="20"/>
        </w:rPr>
        <w:t xml:space="preserve"> and the </w:t>
      </w:r>
      <w:r w:rsidR="007C2D8C">
        <w:rPr>
          <w:rFonts w:ascii="Arial" w:hAnsi="Arial" w:cs="Arial"/>
          <w:sz w:val="20"/>
          <w:szCs w:val="20"/>
        </w:rPr>
        <w:t xml:space="preserve">relevant information available in the project </w:t>
      </w:r>
      <w:r w:rsidRPr="002D43D9">
        <w:rPr>
          <w:rFonts w:ascii="Arial" w:hAnsi="Arial" w:cs="Arial"/>
          <w:sz w:val="20"/>
          <w:szCs w:val="20"/>
        </w:rPr>
        <w:t>document</w:t>
      </w:r>
      <w:r w:rsidR="007C2D8C">
        <w:rPr>
          <w:rFonts w:ascii="Arial" w:hAnsi="Arial" w:cs="Arial"/>
          <w:sz w:val="20"/>
          <w:szCs w:val="20"/>
        </w:rPr>
        <w:t>ary evidence</w:t>
      </w:r>
      <w:r w:rsidRPr="002D43D9">
        <w:rPr>
          <w:rFonts w:ascii="Arial" w:hAnsi="Arial" w:cs="Arial"/>
          <w:sz w:val="20"/>
          <w:szCs w:val="20"/>
        </w:rPr>
        <w:t xml:space="preserve">. </w:t>
      </w:r>
      <w:r w:rsidR="00772B25" w:rsidRPr="002D43D9">
        <w:rPr>
          <w:rFonts w:ascii="Arial" w:hAnsi="Arial" w:cs="Arial"/>
          <w:sz w:val="20"/>
          <w:szCs w:val="20"/>
        </w:rPr>
        <w:t>Therefore,</w:t>
      </w:r>
      <w:r w:rsidRPr="002D43D9">
        <w:rPr>
          <w:rFonts w:ascii="Arial" w:hAnsi="Arial" w:cs="Arial"/>
          <w:sz w:val="20"/>
          <w:szCs w:val="20"/>
        </w:rPr>
        <w:t xml:space="preserve"> the qualitative explanations and examples that accompany the sustainability indicator for each project are important to read alongside the score for </w:t>
      </w:r>
      <w:r w:rsidR="007C2D8C">
        <w:rPr>
          <w:rFonts w:ascii="Arial" w:hAnsi="Arial" w:cs="Arial"/>
          <w:sz w:val="20"/>
          <w:szCs w:val="20"/>
        </w:rPr>
        <w:t xml:space="preserve">the </w:t>
      </w:r>
      <w:r w:rsidRPr="002D43D9">
        <w:rPr>
          <w:rFonts w:ascii="Arial" w:hAnsi="Arial" w:cs="Arial"/>
          <w:sz w:val="20"/>
          <w:szCs w:val="20"/>
        </w:rPr>
        <w:t>nuanced details.</w:t>
      </w:r>
    </w:p>
    <w:p w14:paraId="01D79B84" w14:textId="77777777" w:rsidR="002D43D9" w:rsidRPr="002D43D9" w:rsidRDefault="002D43D9" w:rsidP="002D43D9">
      <w:pPr>
        <w:spacing w:after="0"/>
        <w:rPr>
          <w:rFonts w:ascii="Arial" w:hAnsi="Arial" w:cs="Arial"/>
          <w:sz w:val="20"/>
          <w:szCs w:val="20"/>
        </w:rPr>
      </w:pPr>
    </w:p>
    <w:p w14:paraId="03B424F3" w14:textId="00B95BEE" w:rsidR="002D43D9" w:rsidRPr="008759A2" w:rsidRDefault="007C2D8C" w:rsidP="002D43D9">
      <w:pPr>
        <w:spacing w:after="0"/>
        <w:rPr>
          <w:rFonts w:ascii="Arial" w:hAnsi="Arial" w:cs="Arial"/>
          <w:sz w:val="20"/>
          <w:szCs w:val="20"/>
        </w:rPr>
      </w:pPr>
      <w:r>
        <w:rPr>
          <w:rFonts w:ascii="Arial" w:hAnsi="Arial" w:cs="Arial"/>
          <w:sz w:val="20"/>
          <w:szCs w:val="20"/>
        </w:rPr>
        <w:t>Overall, each</w:t>
      </w:r>
      <w:r w:rsidR="002D43D9" w:rsidRPr="002D43D9">
        <w:rPr>
          <w:rFonts w:ascii="Arial" w:hAnsi="Arial" w:cs="Arial"/>
          <w:sz w:val="20"/>
          <w:szCs w:val="20"/>
        </w:rPr>
        <w:t xml:space="preserve"> project was deemed to meet 2 or more with examples provided across the source documents</w:t>
      </w:r>
      <w:r>
        <w:rPr>
          <w:rFonts w:ascii="Arial" w:hAnsi="Arial" w:cs="Arial"/>
          <w:sz w:val="20"/>
          <w:szCs w:val="20"/>
        </w:rPr>
        <w:t>,</w:t>
      </w:r>
      <w:r w:rsidR="002D43D9" w:rsidRPr="002D43D9">
        <w:rPr>
          <w:rFonts w:ascii="Arial" w:hAnsi="Arial" w:cs="Arial"/>
          <w:sz w:val="20"/>
          <w:szCs w:val="20"/>
        </w:rPr>
        <w:t xml:space="preserve"> and in many cases</w:t>
      </w:r>
      <w:r>
        <w:rPr>
          <w:rFonts w:ascii="Arial" w:hAnsi="Arial" w:cs="Arial"/>
          <w:sz w:val="20"/>
          <w:szCs w:val="20"/>
        </w:rPr>
        <w:t xml:space="preserve">, </w:t>
      </w:r>
      <w:r w:rsidR="002D43D9" w:rsidRPr="002D43D9">
        <w:rPr>
          <w:rFonts w:ascii="Arial" w:hAnsi="Arial" w:cs="Arial"/>
          <w:sz w:val="20"/>
          <w:szCs w:val="20"/>
        </w:rPr>
        <w:t>the final independent evaluations.</w:t>
      </w:r>
    </w:p>
    <w:p w14:paraId="64287874" w14:textId="77777777" w:rsidR="002D43D9" w:rsidRDefault="002D43D9" w:rsidP="003157E4">
      <w:pPr>
        <w:spacing w:after="0"/>
        <w:rPr>
          <w:rFonts w:ascii="Arial" w:hAnsi="Arial" w:cs="Arial"/>
          <w:sz w:val="20"/>
          <w:szCs w:val="20"/>
        </w:rPr>
      </w:pPr>
    </w:p>
    <w:p w14:paraId="7FA1EF53" w14:textId="7BA2B7AF" w:rsidR="002D43D9" w:rsidRPr="002D43D9" w:rsidRDefault="002D43D9" w:rsidP="002D43D9">
      <w:pPr>
        <w:spacing w:after="0"/>
        <w:rPr>
          <w:rFonts w:ascii="Arial" w:hAnsi="Arial" w:cs="Arial"/>
          <w:b/>
          <w:bCs/>
          <w:sz w:val="20"/>
          <w:szCs w:val="20"/>
          <w:u w:val="single"/>
        </w:rPr>
      </w:pPr>
      <w:r>
        <w:rPr>
          <w:rFonts w:ascii="Arial" w:hAnsi="Arial" w:cs="Arial"/>
          <w:b/>
          <w:bCs/>
          <w:sz w:val="20"/>
          <w:szCs w:val="20"/>
          <w:u w:val="single"/>
        </w:rPr>
        <w:t>Output 1 Indicator:</w:t>
      </w:r>
    </w:p>
    <w:p w14:paraId="026746A8" w14:textId="77777777" w:rsidR="002D43D9" w:rsidRDefault="002D43D9" w:rsidP="002D43D9">
      <w:pPr>
        <w:spacing w:after="0"/>
        <w:rPr>
          <w:rFonts w:ascii="Arial" w:hAnsi="Arial" w:cs="Arial"/>
          <w:sz w:val="20"/>
          <w:szCs w:val="20"/>
        </w:rPr>
      </w:pPr>
    </w:p>
    <w:p w14:paraId="4F0E461D" w14:textId="38B47091" w:rsidR="002D43D9" w:rsidRDefault="002D43D9" w:rsidP="002D43D9">
      <w:pPr>
        <w:spacing w:after="0"/>
        <w:rPr>
          <w:rFonts w:ascii="Arial" w:hAnsi="Arial" w:cs="Arial"/>
          <w:sz w:val="20"/>
          <w:szCs w:val="20"/>
        </w:rPr>
      </w:pPr>
      <w:r w:rsidRPr="002D43D9">
        <w:rPr>
          <w:rFonts w:ascii="Arial" w:hAnsi="Arial" w:cs="Arial"/>
          <w:i/>
          <w:iCs/>
          <w:sz w:val="20"/>
          <w:szCs w:val="20"/>
        </w:rPr>
        <w:t>Overview:</w:t>
      </w:r>
      <w:r>
        <w:rPr>
          <w:rFonts w:ascii="Arial" w:hAnsi="Arial" w:cs="Arial"/>
          <w:sz w:val="20"/>
          <w:szCs w:val="20"/>
        </w:rPr>
        <w:t xml:space="preserve"> </w:t>
      </w:r>
      <w:r w:rsidRPr="002D43D9">
        <w:rPr>
          <w:rFonts w:ascii="Arial" w:hAnsi="Arial" w:cs="Arial"/>
          <w:sz w:val="20"/>
          <w:szCs w:val="20"/>
        </w:rPr>
        <w:t xml:space="preserve">As all projects </w:t>
      </w:r>
      <w:r>
        <w:rPr>
          <w:rFonts w:ascii="Arial" w:hAnsi="Arial" w:cs="Arial"/>
          <w:sz w:val="20"/>
          <w:szCs w:val="20"/>
        </w:rPr>
        <w:t>were coding as fulfilling</w:t>
      </w:r>
      <w:r w:rsidRPr="002D43D9">
        <w:rPr>
          <w:rFonts w:ascii="Arial" w:hAnsi="Arial" w:cs="Arial"/>
          <w:sz w:val="20"/>
          <w:szCs w:val="20"/>
        </w:rPr>
        <w:t xml:space="preserve"> the criteria across the full sample, an aggregate value of 100% was provided. Even if in 2 cases the evidence specified that it was less than 100% of sites, the overall value was still high enough to warrant a 'yes</w:t>
      </w:r>
      <w:r>
        <w:rPr>
          <w:rFonts w:ascii="Arial" w:hAnsi="Arial" w:cs="Arial"/>
          <w:sz w:val="20"/>
          <w:szCs w:val="20"/>
        </w:rPr>
        <w:t>’.</w:t>
      </w:r>
      <w:r w:rsidR="002B2F4F">
        <w:rPr>
          <w:rFonts w:ascii="Arial" w:hAnsi="Arial" w:cs="Arial"/>
          <w:sz w:val="20"/>
          <w:szCs w:val="20"/>
        </w:rPr>
        <w:t xml:space="preserve"> </w:t>
      </w:r>
    </w:p>
    <w:p w14:paraId="71A4B162" w14:textId="77777777" w:rsidR="002D43D9" w:rsidRDefault="002D43D9" w:rsidP="002D43D9">
      <w:pPr>
        <w:spacing w:after="0"/>
        <w:rPr>
          <w:rFonts w:ascii="Arial" w:hAnsi="Arial" w:cs="Arial"/>
          <w:sz w:val="20"/>
          <w:szCs w:val="20"/>
        </w:rPr>
      </w:pPr>
    </w:p>
    <w:p w14:paraId="5635EE31" w14:textId="25B45BD3" w:rsidR="002D43D9" w:rsidRPr="002D43D9" w:rsidRDefault="002D43D9" w:rsidP="002D43D9">
      <w:pPr>
        <w:spacing w:after="0"/>
        <w:rPr>
          <w:rFonts w:ascii="Arial" w:hAnsi="Arial" w:cs="Arial"/>
          <w:sz w:val="20"/>
          <w:szCs w:val="20"/>
        </w:rPr>
      </w:pPr>
      <w:r w:rsidRPr="002D43D9">
        <w:rPr>
          <w:rFonts w:ascii="Arial" w:hAnsi="Arial" w:cs="Arial"/>
          <w:sz w:val="20"/>
          <w:szCs w:val="20"/>
        </w:rPr>
        <w:t xml:space="preserve">This was a Yes/No unit of analysis; </w:t>
      </w:r>
      <w:r w:rsidR="00772B25" w:rsidRPr="002D43D9">
        <w:rPr>
          <w:rFonts w:ascii="Arial" w:hAnsi="Arial" w:cs="Arial"/>
          <w:sz w:val="20"/>
          <w:szCs w:val="20"/>
        </w:rPr>
        <w:t>however,</w:t>
      </w:r>
      <w:r w:rsidRPr="002D43D9">
        <w:rPr>
          <w:rFonts w:ascii="Arial" w:hAnsi="Arial" w:cs="Arial"/>
          <w:sz w:val="20"/>
          <w:szCs w:val="20"/>
        </w:rPr>
        <w:t xml:space="preserve"> the coder sought to assess if the CSA compacts with at least 3 fit-for-purpose stakeholders meeting regularly took place across all project sites where the evidence was available to determine this. </w:t>
      </w:r>
    </w:p>
    <w:p w14:paraId="6DFFB5B9" w14:textId="77777777" w:rsidR="002D43D9" w:rsidRPr="002D43D9" w:rsidRDefault="002D43D9" w:rsidP="002D43D9">
      <w:pPr>
        <w:spacing w:after="0"/>
        <w:rPr>
          <w:rFonts w:ascii="Arial" w:hAnsi="Arial" w:cs="Arial"/>
          <w:sz w:val="20"/>
          <w:szCs w:val="20"/>
        </w:rPr>
      </w:pPr>
    </w:p>
    <w:p w14:paraId="05EB77F1" w14:textId="7118BF8B" w:rsidR="002D43D9" w:rsidRPr="002D43D9" w:rsidRDefault="002D43D9" w:rsidP="002D43D9">
      <w:pPr>
        <w:spacing w:after="0"/>
        <w:rPr>
          <w:rFonts w:ascii="Arial" w:hAnsi="Arial" w:cs="Arial"/>
          <w:sz w:val="20"/>
          <w:szCs w:val="20"/>
        </w:rPr>
      </w:pPr>
      <w:r w:rsidRPr="002D43D9">
        <w:rPr>
          <w:rFonts w:ascii="Arial" w:hAnsi="Arial" w:cs="Arial"/>
          <w:sz w:val="20"/>
          <w:szCs w:val="20"/>
        </w:rPr>
        <w:t>The following projects had evidence to indicate compacts did not achieve the full indicator across all compacts:</w:t>
      </w:r>
    </w:p>
    <w:p w14:paraId="3565043C" w14:textId="77777777" w:rsidR="002D43D9" w:rsidRPr="002D43D9" w:rsidRDefault="002D43D9" w:rsidP="002D43D9">
      <w:pPr>
        <w:pStyle w:val="ListParagraph"/>
        <w:numPr>
          <w:ilvl w:val="0"/>
          <w:numId w:val="21"/>
        </w:numPr>
        <w:spacing w:after="0"/>
        <w:rPr>
          <w:rFonts w:ascii="Arial" w:hAnsi="Arial" w:cs="Arial"/>
          <w:sz w:val="20"/>
          <w:szCs w:val="20"/>
        </w:rPr>
      </w:pPr>
      <w:r w:rsidRPr="002D43D9">
        <w:rPr>
          <w:rFonts w:ascii="Arial" w:hAnsi="Arial" w:cs="Arial"/>
          <w:sz w:val="20"/>
          <w:szCs w:val="20"/>
        </w:rPr>
        <w:t>Cordaid DRC 67%</w:t>
      </w:r>
    </w:p>
    <w:p w14:paraId="7F6047A9" w14:textId="77777777" w:rsidR="002D43D9" w:rsidRPr="002D43D9" w:rsidRDefault="002D43D9" w:rsidP="002D43D9">
      <w:pPr>
        <w:pStyle w:val="ListParagraph"/>
        <w:numPr>
          <w:ilvl w:val="0"/>
          <w:numId w:val="21"/>
        </w:numPr>
        <w:spacing w:after="0"/>
        <w:rPr>
          <w:rFonts w:ascii="Arial" w:hAnsi="Arial" w:cs="Arial"/>
          <w:sz w:val="20"/>
          <w:szCs w:val="20"/>
        </w:rPr>
      </w:pPr>
      <w:r w:rsidRPr="002D43D9">
        <w:rPr>
          <w:rFonts w:ascii="Arial" w:hAnsi="Arial" w:cs="Arial"/>
          <w:sz w:val="20"/>
          <w:szCs w:val="20"/>
        </w:rPr>
        <w:t xml:space="preserve">SAHA Madagascar 93% </w:t>
      </w:r>
    </w:p>
    <w:p w14:paraId="2BAA24BE" w14:textId="77777777" w:rsidR="002D43D9" w:rsidRPr="002D43D9" w:rsidRDefault="002D43D9" w:rsidP="002D43D9">
      <w:pPr>
        <w:spacing w:after="0"/>
        <w:rPr>
          <w:rFonts w:ascii="Arial" w:hAnsi="Arial" w:cs="Arial"/>
          <w:sz w:val="20"/>
          <w:szCs w:val="20"/>
        </w:rPr>
      </w:pPr>
    </w:p>
    <w:p w14:paraId="39505ABA" w14:textId="76F7B3FD" w:rsidR="002D43D9" w:rsidRPr="002D43D9" w:rsidRDefault="002B2F4F" w:rsidP="002D43D9">
      <w:pPr>
        <w:spacing w:after="0"/>
        <w:rPr>
          <w:rFonts w:ascii="Arial" w:hAnsi="Arial" w:cs="Arial"/>
          <w:sz w:val="20"/>
          <w:szCs w:val="20"/>
        </w:rPr>
      </w:pPr>
      <w:proofErr w:type="gramStart"/>
      <w:r>
        <w:rPr>
          <w:rFonts w:ascii="Arial" w:hAnsi="Arial" w:cs="Arial"/>
          <w:sz w:val="20"/>
          <w:szCs w:val="20"/>
        </w:rPr>
        <w:t>Similar to</w:t>
      </w:r>
      <w:proofErr w:type="gramEnd"/>
      <w:r>
        <w:rPr>
          <w:rFonts w:ascii="Arial" w:hAnsi="Arial" w:cs="Arial"/>
          <w:sz w:val="20"/>
          <w:szCs w:val="20"/>
        </w:rPr>
        <w:t xml:space="preserve"> other indicators, the GPSA expectation is not that the projects will achieve 100% success for compact quality and engagement across all target sites. The projects that </w:t>
      </w:r>
      <w:proofErr w:type="gramStart"/>
      <w:r>
        <w:rPr>
          <w:rFonts w:ascii="Arial" w:hAnsi="Arial" w:cs="Arial"/>
          <w:sz w:val="20"/>
          <w:szCs w:val="20"/>
        </w:rPr>
        <w:t>are able to</w:t>
      </w:r>
      <w:proofErr w:type="gramEnd"/>
      <w:r>
        <w:rPr>
          <w:rFonts w:ascii="Arial" w:hAnsi="Arial" w:cs="Arial"/>
          <w:sz w:val="20"/>
          <w:szCs w:val="20"/>
        </w:rPr>
        <w:t xml:space="preserve"> provide disaggregated results are reflective of the level of data that the GPSA seeks to yield from its projects. </w:t>
      </w:r>
      <w:r w:rsidR="00FA5D7E">
        <w:rPr>
          <w:rFonts w:ascii="Arial" w:hAnsi="Arial" w:cs="Arial"/>
          <w:sz w:val="20"/>
          <w:szCs w:val="20"/>
        </w:rPr>
        <w:t>However,</w:t>
      </w:r>
      <w:r>
        <w:rPr>
          <w:rFonts w:ascii="Arial" w:hAnsi="Arial" w:cs="Arial"/>
          <w:sz w:val="20"/>
          <w:szCs w:val="20"/>
        </w:rPr>
        <w:t xml:space="preserve"> as a value needed to be assigned for each project, the coding gave 100% to all sample projects except for those two above, as the percentage was explicitly stated in these two projects’ documents. </w:t>
      </w:r>
      <w:r w:rsidR="00772B25" w:rsidRPr="002D43D9">
        <w:rPr>
          <w:rFonts w:ascii="Arial" w:hAnsi="Arial" w:cs="Arial"/>
          <w:sz w:val="20"/>
          <w:szCs w:val="20"/>
        </w:rPr>
        <w:lastRenderedPageBreak/>
        <w:t>However,</w:t>
      </w:r>
      <w:r w:rsidR="002D43D9" w:rsidRPr="002D43D9">
        <w:rPr>
          <w:rFonts w:ascii="Arial" w:hAnsi="Arial" w:cs="Arial"/>
          <w:sz w:val="20"/>
          <w:szCs w:val="20"/>
        </w:rPr>
        <w:t xml:space="preserve"> this does not mean that all the other</w:t>
      </w:r>
      <w:r>
        <w:rPr>
          <w:rFonts w:ascii="Arial" w:hAnsi="Arial" w:cs="Arial"/>
          <w:sz w:val="20"/>
          <w:szCs w:val="20"/>
        </w:rPr>
        <w:t xml:space="preserve"> sample</w:t>
      </w:r>
      <w:r w:rsidR="002D43D9" w:rsidRPr="002D43D9">
        <w:rPr>
          <w:rFonts w:ascii="Arial" w:hAnsi="Arial" w:cs="Arial"/>
          <w:sz w:val="20"/>
          <w:szCs w:val="20"/>
        </w:rPr>
        <w:t xml:space="preserve"> projects necessarily </w:t>
      </w:r>
      <w:r w:rsidR="00772B25" w:rsidRPr="002D43D9">
        <w:rPr>
          <w:rFonts w:ascii="Arial" w:hAnsi="Arial" w:cs="Arial"/>
          <w:sz w:val="20"/>
          <w:szCs w:val="20"/>
        </w:rPr>
        <w:t>fulfil</w:t>
      </w:r>
      <w:r w:rsidR="00772B25">
        <w:rPr>
          <w:rFonts w:ascii="Arial" w:hAnsi="Arial" w:cs="Arial"/>
          <w:sz w:val="20"/>
          <w:szCs w:val="20"/>
        </w:rPr>
        <w:t>led</w:t>
      </w:r>
      <w:r w:rsidR="002D43D9" w:rsidRPr="002D43D9">
        <w:rPr>
          <w:rFonts w:ascii="Arial" w:hAnsi="Arial" w:cs="Arial"/>
          <w:sz w:val="20"/>
          <w:szCs w:val="20"/>
        </w:rPr>
        <w:t xml:space="preserve"> this criteria across all </w:t>
      </w:r>
      <w:r w:rsidR="004819B5">
        <w:rPr>
          <w:rFonts w:ascii="Arial" w:hAnsi="Arial" w:cs="Arial"/>
          <w:sz w:val="20"/>
          <w:szCs w:val="20"/>
        </w:rPr>
        <w:t>compacts/</w:t>
      </w:r>
      <w:r w:rsidR="002D43D9" w:rsidRPr="002D43D9">
        <w:rPr>
          <w:rFonts w:ascii="Arial" w:hAnsi="Arial" w:cs="Arial"/>
          <w:sz w:val="20"/>
          <w:szCs w:val="20"/>
        </w:rPr>
        <w:t>sites</w:t>
      </w:r>
      <w:r>
        <w:rPr>
          <w:rFonts w:ascii="Arial" w:hAnsi="Arial" w:cs="Arial"/>
          <w:sz w:val="20"/>
          <w:szCs w:val="20"/>
        </w:rPr>
        <w:t>;</w:t>
      </w:r>
      <w:r w:rsidR="002D43D9" w:rsidRPr="002D43D9">
        <w:rPr>
          <w:rFonts w:ascii="Arial" w:hAnsi="Arial" w:cs="Arial"/>
          <w:sz w:val="20"/>
          <w:szCs w:val="20"/>
        </w:rPr>
        <w:t xml:space="preserve"> it means that the documents did not provide this level of detail and therefore 100% was assumed for the purposes of this coding exercise as it would be unfeasible to determine another value. </w:t>
      </w:r>
      <w:r>
        <w:rPr>
          <w:rFonts w:ascii="Arial" w:hAnsi="Arial" w:cs="Arial"/>
          <w:sz w:val="20"/>
          <w:szCs w:val="20"/>
        </w:rPr>
        <w:t>For</w:t>
      </w:r>
      <w:r w:rsidR="002D43D9" w:rsidRPr="002D43D9">
        <w:rPr>
          <w:rFonts w:ascii="Arial" w:hAnsi="Arial" w:cs="Arial"/>
          <w:sz w:val="20"/>
          <w:szCs w:val="20"/>
        </w:rPr>
        <w:t xml:space="preserve"> the purposes of this coding and due to the limitations in the evidence available, 13 of the projects were assessed as 100% of the compacts/sites. It is very likely though that quality and levels of engagement varied across sites/compacts for each project as would be expected given different contexts and challenges and dynamics at the compact/site level.</w:t>
      </w:r>
    </w:p>
    <w:p w14:paraId="5AB552E8" w14:textId="77777777" w:rsidR="002D43D9" w:rsidRPr="002D43D9" w:rsidRDefault="002D43D9" w:rsidP="002D43D9">
      <w:pPr>
        <w:spacing w:after="0"/>
        <w:rPr>
          <w:rFonts w:ascii="Arial" w:hAnsi="Arial" w:cs="Arial"/>
          <w:sz w:val="20"/>
          <w:szCs w:val="20"/>
        </w:rPr>
      </w:pPr>
    </w:p>
    <w:p w14:paraId="793A771A" w14:textId="77777777" w:rsidR="002D43D9" w:rsidRPr="002D43D9" w:rsidRDefault="002D43D9" w:rsidP="002D43D9">
      <w:pPr>
        <w:spacing w:after="0"/>
        <w:rPr>
          <w:rFonts w:ascii="Arial" w:hAnsi="Arial" w:cs="Arial"/>
          <w:sz w:val="20"/>
          <w:szCs w:val="20"/>
        </w:rPr>
      </w:pPr>
      <w:r w:rsidRPr="002D43D9">
        <w:rPr>
          <w:rFonts w:ascii="Arial" w:hAnsi="Arial" w:cs="Arial"/>
          <w:sz w:val="20"/>
          <w:szCs w:val="20"/>
        </w:rPr>
        <w:t xml:space="preserve">The coder used the available documentary evidence for each project to find examples for the project targeting and engaging fit-for-purpose stakeholders (relevant to the context, </w:t>
      </w:r>
      <w:proofErr w:type="gramStart"/>
      <w:r w:rsidRPr="002D43D9">
        <w:rPr>
          <w:rFonts w:ascii="Arial" w:hAnsi="Arial" w:cs="Arial"/>
          <w:sz w:val="20"/>
          <w:szCs w:val="20"/>
        </w:rPr>
        <w:t>sector</w:t>
      </w:r>
      <w:proofErr w:type="gramEnd"/>
      <w:r w:rsidRPr="002D43D9">
        <w:rPr>
          <w:rFonts w:ascii="Arial" w:hAnsi="Arial" w:cs="Arial"/>
          <w:sz w:val="20"/>
          <w:szCs w:val="20"/>
        </w:rPr>
        <w:t xml:space="preserve"> and country) on an ongoing basis in the CSA process for decision making, consultation, collaboration etc. It also aimed to determine if this took place across the different sites of implementation generally and the quality although this is a limitation overall (see next column). Specific examples and quotes are provided in each of the project coding files with sources and page numbers.</w:t>
      </w:r>
    </w:p>
    <w:p w14:paraId="52F82511" w14:textId="0CAC2D6B" w:rsidR="002D43D9" w:rsidRDefault="002D43D9" w:rsidP="002D43D9">
      <w:pPr>
        <w:spacing w:after="0"/>
        <w:rPr>
          <w:rFonts w:ascii="Arial" w:hAnsi="Arial" w:cs="Arial"/>
          <w:sz w:val="20"/>
          <w:szCs w:val="20"/>
        </w:rPr>
      </w:pPr>
    </w:p>
    <w:p w14:paraId="14B2EA80" w14:textId="396E0EA0" w:rsidR="002D43D9" w:rsidRDefault="004819B5" w:rsidP="002D43D9">
      <w:pPr>
        <w:spacing w:after="0"/>
        <w:rPr>
          <w:rFonts w:ascii="Arial" w:hAnsi="Arial" w:cs="Arial"/>
          <w:sz w:val="20"/>
          <w:szCs w:val="20"/>
        </w:rPr>
      </w:pPr>
      <w:r w:rsidRPr="004819B5">
        <w:rPr>
          <w:rFonts w:ascii="Arial" w:hAnsi="Arial" w:cs="Arial"/>
          <w:i/>
          <w:iCs/>
          <w:sz w:val="20"/>
          <w:szCs w:val="20"/>
        </w:rPr>
        <w:t>Limitations:</w:t>
      </w:r>
      <w:r>
        <w:rPr>
          <w:rFonts w:ascii="Arial" w:hAnsi="Arial" w:cs="Arial"/>
          <w:sz w:val="20"/>
          <w:szCs w:val="20"/>
        </w:rPr>
        <w:t xml:space="preserve"> </w:t>
      </w:r>
      <w:r w:rsidRPr="004819B5">
        <w:rPr>
          <w:rFonts w:ascii="Arial" w:hAnsi="Arial" w:cs="Arial"/>
          <w:sz w:val="20"/>
          <w:szCs w:val="20"/>
        </w:rPr>
        <w:t xml:space="preserve">The evidence base overall provides ample examples of multi-stakeholder consultations and meetings including several fit-for-purpose stakeholder groups. </w:t>
      </w:r>
      <w:r w:rsidR="00772B25" w:rsidRPr="004819B5">
        <w:rPr>
          <w:rFonts w:ascii="Arial" w:hAnsi="Arial" w:cs="Arial"/>
          <w:sz w:val="20"/>
          <w:szCs w:val="20"/>
        </w:rPr>
        <w:t>However,</w:t>
      </w:r>
      <w:r w:rsidRPr="004819B5">
        <w:rPr>
          <w:rFonts w:ascii="Arial" w:hAnsi="Arial" w:cs="Arial"/>
          <w:sz w:val="20"/>
          <w:szCs w:val="20"/>
        </w:rPr>
        <w:t xml:space="preserve"> the documents for the sample do not generally provide this level of detail at the site/compact level nor the of frequency of meetings. Therefore the 100% score provided for this RF indicator for GPSA strategic review and aggregation purposes must be interpreted with the limitation that the score does not account for or confirm that a specific minimum frequency for each compact and site of implementation was met. Nor does it provide qualitative assessment of the differences in terms of stakeholder engagement between each compact/site. </w:t>
      </w:r>
      <w:r w:rsidR="00772B25" w:rsidRPr="004819B5">
        <w:rPr>
          <w:rFonts w:ascii="Arial" w:hAnsi="Arial" w:cs="Arial"/>
          <w:sz w:val="20"/>
          <w:szCs w:val="20"/>
        </w:rPr>
        <w:t>However,</w:t>
      </w:r>
      <w:r w:rsidRPr="004819B5">
        <w:rPr>
          <w:rFonts w:ascii="Arial" w:hAnsi="Arial" w:cs="Arial"/>
          <w:sz w:val="20"/>
          <w:szCs w:val="20"/>
        </w:rPr>
        <w:t xml:space="preserve"> the frequency of compact members seems to be regular based on the documentary evidence reviewed; </w:t>
      </w:r>
      <w:r w:rsidR="00772B25" w:rsidRPr="004819B5">
        <w:rPr>
          <w:rFonts w:ascii="Arial" w:hAnsi="Arial" w:cs="Arial"/>
          <w:sz w:val="20"/>
          <w:szCs w:val="20"/>
        </w:rPr>
        <w:t>therefore,</w:t>
      </w:r>
      <w:r w:rsidRPr="004819B5">
        <w:rPr>
          <w:rFonts w:ascii="Arial" w:hAnsi="Arial" w:cs="Arial"/>
          <w:sz w:val="20"/>
          <w:szCs w:val="20"/>
        </w:rPr>
        <w:t xml:space="preserve"> this indicator can be considered as achieved for all projects.</w:t>
      </w:r>
    </w:p>
    <w:p w14:paraId="748BB384" w14:textId="645FA3EB" w:rsidR="00EE30C8" w:rsidRDefault="00EE30C8" w:rsidP="003157E4">
      <w:pPr>
        <w:spacing w:after="0"/>
        <w:rPr>
          <w:rFonts w:ascii="Arial" w:hAnsi="Arial" w:cs="Arial"/>
          <w:b/>
          <w:bCs/>
          <w:sz w:val="20"/>
          <w:szCs w:val="20"/>
          <w:u w:val="single"/>
        </w:rPr>
      </w:pPr>
      <w:r>
        <w:rPr>
          <w:rFonts w:ascii="Arial" w:hAnsi="Arial" w:cs="Arial"/>
          <w:sz w:val="20"/>
          <w:szCs w:val="20"/>
        </w:rPr>
        <w:br/>
      </w:r>
      <w:r w:rsidRPr="004819B5">
        <w:rPr>
          <w:rFonts w:ascii="Arial" w:hAnsi="Arial" w:cs="Arial"/>
          <w:b/>
          <w:bCs/>
          <w:sz w:val="20"/>
          <w:szCs w:val="20"/>
          <w:u w:val="single"/>
        </w:rPr>
        <w:t>Output 2</w:t>
      </w:r>
      <w:r w:rsidR="002D43D9" w:rsidRPr="004819B5">
        <w:rPr>
          <w:rFonts w:ascii="Arial" w:hAnsi="Arial" w:cs="Arial"/>
          <w:b/>
          <w:bCs/>
          <w:sz w:val="20"/>
          <w:szCs w:val="20"/>
          <w:u w:val="single"/>
        </w:rPr>
        <w:t>a) Indicator</w:t>
      </w:r>
      <w:r w:rsidRPr="004819B5">
        <w:rPr>
          <w:rFonts w:ascii="Arial" w:hAnsi="Arial" w:cs="Arial"/>
          <w:b/>
          <w:bCs/>
          <w:sz w:val="20"/>
          <w:szCs w:val="20"/>
          <w:u w:val="single"/>
        </w:rPr>
        <w:t>:</w:t>
      </w:r>
    </w:p>
    <w:p w14:paraId="44205001" w14:textId="26AA03D7" w:rsidR="00833458" w:rsidRPr="00833458" w:rsidRDefault="00833458" w:rsidP="003157E4">
      <w:pPr>
        <w:spacing w:after="0"/>
        <w:rPr>
          <w:rFonts w:ascii="Arial" w:hAnsi="Arial" w:cs="Arial"/>
          <w:sz w:val="20"/>
          <w:szCs w:val="20"/>
        </w:rPr>
      </w:pPr>
    </w:p>
    <w:p w14:paraId="1F851D35" w14:textId="3C3A2C12" w:rsidR="00833458" w:rsidRPr="00833458" w:rsidRDefault="00833458" w:rsidP="00833458">
      <w:pPr>
        <w:spacing w:after="0"/>
        <w:rPr>
          <w:rFonts w:ascii="Arial" w:hAnsi="Arial" w:cs="Arial"/>
          <w:sz w:val="20"/>
          <w:szCs w:val="20"/>
        </w:rPr>
      </w:pPr>
      <w:r w:rsidRPr="00833458">
        <w:rPr>
          <w:rFonts w:ascii="Arial" w:hAnsi="Arial" w:cs="Arial"/>
          <w:i/>
          <w:iCs/>
          <w:sz w:val="20"/>
          <w:szCs w:val="20"/>
        </w:rPr>
        <w:t>Overview:</w:t>
      </w:r>
      <w:r w:rsidRPr="00833458">
        <w:rPr>
          <w:rFonts w:ascii="Arial" w:hAnsi="Arial" w:cs="Arial"/>
          <w:sz w:val="20"/>
          <w:szCs w:val="20"/>
        </w:rPr>
        <w:t xml:space="preserve"> </w:t>
      </w:r>
      <w:r>
        <w:rPr>
          <w:rFonts w:ascii="Arial" w:hAnsi="Arial" w:cs="Arial"/>
          <w:sz w:val="20"/>
          <w:szCs w:val="20"/>
        </w:rPr>
        <w:t>Se</w:t>
      </w:r>
      <w:r w:rsidRPr="00833458">
        <w:rPr>
          <w:rFonts w:ascii="Arial" w:hAnsi="Arial" w:cs="Arial"/>
          <w:sz w:val="20"/>
          <w:szCs w:val="20"/>
        </w:rPr>
        <w:t xml:space="preserve">veral </w:t>
      </w:r>
      <w:r>
        <w:rPr>
          <w:rFonts w:ascii="Arial" w:hAnsi="Arial" w:cs="Arial"/>
          <w:sz w:val="20"/>
          <w:szCs w:val="20"/>
        </w:rPr>
        <w:t xml:space="preserve">relevant </w:t>
      </w:r>
      <w:r w:rsidRPr="00833458">
        <w:rPr>
          <w:rFonts w:ascii="Arial" w:hAnsi="Arial" w:cs="Arial"/>
          <w:sz w:val="20"/>
          <w:szCs w:val="20"/>
        </w:rPr>
        <w:t xml:space="preserve">examples </w:t>
      </w:r>
      <w:r>
        <w:rPr>
          <w:rFonts w:ascii="Arial" w:hAnsi="Arial" w:cs="Arial"/>
          <w:sz w:val="20"/>
          <w:szCs w:val="20"/>
        </w:rPr>
        <w:t xml:space="preserve">of learning for course corrections were identified </w:t>
      </w:r>
      <w:r w:rsidRPr="00833458">
        <w:rPr>
          <w:rFonts w:ascii="Arial" w:hAnsi="Arial" w:cs="Arial"/>
          <w:sz w:val="20"/>
          <w:szCs w:val="20"/>
        </w:rPr>
        <w:t>in 13 of the 15 projects</w:t>
      </w:r>
      <w:r>
        <w:rPr>
          <w:rFonts w:ascii="Arial" w:hAnsi="Arial" w:cs="Arial"/>
          <w:sz w:val="20"/>
          <w:szCs w:val="20"/>
        </w:rPr>
        <w:t xml:space="preserve">, </w:t>
      </w:r>
      <w:r w:rsidRPr="00833458">
        <w:rPr>
          <w:rFonts w:ascii="Arial" w:hAnsi="Arial" w:cs="Arial"/>
          <w:sz w:val="20"/>
          <w:szCs w:val="20"/>
        </w:rPr>
        <w:t xml:space="preserve">while 2 of the 15 only had 1 and therefore this could not be considered as ongoing practice. </w:t>
      </w:r>
      <w:r w:rsidR="00772B25" w:rsidRPr="00833458">
        <w:rPr>
          <w:rFonts w:ascii="Arial" w:hAnsi="Arial" w:cs="Arial"/>
          <w:sz w:val="20"/>
          <w:szCs w:val="20"/>
        </w:rPr>
        <w:t>Therefore,</w:t>
      </w:r>
      <w:r w:rsidRPr="00833458">
        <w:rPr>
          <w:rFonts w:ascii="Arial" w:hAnsi="Arial" w:cs="Arial"/>
          <w:sz w:val="20"/>
          <w:szCs w:val="20"/>
        </w:rPr>
        <w:t xml:space="preserve"> a score of 13/15 was calculated to come to the aggregate value of 87% (rounded from 86.7%)</w:t>
      </w:r>
    </w:p>
    <w:p w14:paraId="77840A1E" w14:textId="50BE3AEB" w:rsidR="00833458" w:rsidRPr="00833458" w:rsidRDefault="00833458" w:rsidP="00833458">
      <w:pPr>
        <w:spacing w:after="0"/>
        <w:rPr>
          <w:rFonts w:ascii="Arial" w:hAnsi="Arial" w:cs="Arial"/>
          <w:sz w:val="20"/>
          <w:szCs w:val="20"/>
        </w:rPr>
      </w:pPr>
    </w:p>
    <w:p w14:paraId="76DEB87C" w14:textId="5B375C42" w:rsidR="00833458" w:rsidRPr="00833458" w:rsidRDefault="00833458" w:rsidP="00833458">
      <w:pPr>
        <w:spacing w:after="0"/>
        <w:rPr>
          <w:rFonts w:ascii="Arial" w:hAnsi="Arial" w:cs="Arial"/>
          <w:sz w:val="20"/>
          <w:szCs w:val="20"/>
        </w:rPr>
      </w:pPr>
      <w:r w:rsidRPr="00833458">
        <w:rPr>
          <w:rFonts w:ascii="Arial" w:hAnsi="Arial" w:cs="Arial"/>
          <w:sz w:val="20"/>
          <w:szCs w:val="20"/>
        </w:rPr>
        <w:t xml:space="preserve"> For each project in the sample, the coder reviewed all documents to source examples of relevant lessons that led to intentional course corrections/adaptations to the project (model, operations, strategy, etc.). The total number was calculated with the qualitative information and source for each one provided in the individual project coded sheets. The examples range but they are based on analysis, MEL, context shifts, etc. It was also important to demonstrate that this was taking place by the grant partner/project on an ongoing basis as a regular practice </w:t>
      </w:r>
      <w:proofErr w:type="gramStart"/>
      <w:r w:rsidRPr="00833458">
        <w:rPr>
          <w:rFonts w:ascii="Arial" w:hAnsi="Arial" w:cs="Arial"/>
          <w:sz w:val="20"/>
          <w:szCs w:val="20"/>
        </w:rPr>
        <w:t>in order for</w:t>
      </w:r>
      <w:proofErr w:type="gramEnd"/>
      <w:r w:rsidRPr="00833458">
        <w:rPr>
          <w:rFonts w:ascii="Arial" w:hAnsi="Arial" w:cs="Arial"/>
          <w:sz w:val="20"/>
          <w:szCs w:val="20"/>
        </w:rPr>
        <w:t xml:space="preserve"> the indicator criteria to be deemed as achieved. </w:t>
      </w:r>
      <w:r w:rsidR="00772B25" w:rsidRPr="00833458">
        <w:rPr>
          <w:rFonts w:ascii="Arial" w:hAnsi="Arial" w:cs="Arial"/>
          <w:sz w:val="20"/>
          <w:szCs w:val="20"/>
        </w:rPr>
        <w:t>Therefore,</w:t>
      </w:r>
      <w:r w:rsidRPr="00833458">
        <w:rPr>
          <w:rFonts w:ascii="Arial" w:hAnsi="Arial" w:cs="Arial"/>
          <w:sz w:val="20"/>
          <w:szCs w:val="20"/>
        </w:rPr>
        <w:t xml:space="preserve"> a Yes/No is provided along with the number of course corrections identified for each project.  All course corrections with sources and page numbers are included in each project file.</w:t>
      </w:r>
    </w:p>
    <w:p w14:paraId="7F00C52A" w14:textId="5B98D2DE" w:rsidR="00833458" w:rsidRDefault="00833458" w:rsidP="003157E4">
      <w:pPr>
        <w:spacing w:after="0"/>
        <w:rPr>
          <w:rFonts w:ascii="Arial" w:hAnsi="Arial" w:cs="Arial"/>
          <w:b/>
          <w:bCs/>
          <w:sz w:val="20"/>
          <w:szCs w:val="20"/>
          <w:u w:val="single"/>
        </w:rPr>
      </w:pPr>
    </w:p>
    <w:p w14:paraId="50DC670C" w14:textId="1C0B8CB5" w:rsidR="00833458" w:rsidRPr="00833458" w:rsidRDefault="00833458" w:rsidP="00833458">
      <w:pPr>
        <w:spacing w:after="0"/>
        <w:rPr>
          <w:rFonts w:ascii="Arial" w:hAnsi="Arial" w:cs="Arial"/>
          <w:sz w:val="20"/>
          <w:szCs w:val="20"/>
        </w:rPr>
      </w:pPr>
      <w:r w:rsidRPr="00833458">
        <w:rPr>
          <w:rFonts w:ascii="Arial" w:hAnsi="Arial" w:cs="Arial"/>
          <w:i/>
          <w:iCs/>
          <w:sz w:val="20"/>
          <w:szCs w:val="20"/>
        </w:rPr>
        <w:t xml:space="preserve">Limitations: </w:t>
      </w:r>
      <w:r w:rsidRPr="00833458">
        <w:rPr>
          <w:rFonts w:ascii="Arial" w:hAnsi="Arial" w:cs="Arial"/>
          <w:sz w:val="20"/>
          <w:szCs w:val="20"/>
        </w:rPr>
        <w:t xml:space="preserve">The documentary evidence provided is a sample of the overall evidence base for all projects. All the lessons and course corrections/adaptations to the project may not be reflected in the documentation overall. </w:t>
      </w:r>
      <w:r w:rsidR="00772B25" w:rsidRPr="00833458">
        <w:rPr>
          <w:rFonts w:ascii="Arial" w:hAnsi="Arial" w:cs="Arial"/>
          <w:sz w:val="20"/>
          <w:szCs w:val="20"/>
        </w:rPr>
        <w:t>Therefore,</w:t>
      </w:r>
      <w:r w:rsidRPr="00833458">
        <w:rPr>
          <w:rFonts w:ascii="Arial" w:hAnsi="Arial" w:cs="Arial"/>
          <w:sz w:val="20"/>
          <w:szCs w:val="20"/>
        </w:rPr>
        <w:t xml:space="preserve"> it is not guaranteed that the number of course corrections provided to each project is exact or comprehensive. That said, </w:t>
      </w:r>
      <w:proofErr w:type="gramStart"/>
      <w:r w:rsidRPr="00833458">
        <w:rPr>
          <w:rFonts w:ascii="Arial" w:hAnsi="Arial" w:cs="Arial"/>
          <w:sz w:val="20"/>
          <w:szCs w:val="20"/>
        </w:rPr>
        <w:t>the majority of</w:t>
      </w:r>
      <w:proofErr w:type="gramEnd"/>
      <w:r w:rsidRPr="00833458">
        <w:rPr>
          <w:rFonts w:ascii="Arial" w:hAnsi="Arial" w:cs="Arial"/>
          <w:sz w:val="20"/>
          <w:szCs w:val="20"/>
        </w:rPr>
        <w:t xml:space="preserve"> projects had several examples noted in the documents which means the criteria can be fulfilled as a yes. For this retroactive coding exercise</w:t>
      </w:r>
      <w:r w:rsidR="002B2F4F">
        <w:rPr>
          <w:rFonts w:ascii="Arial" w:hAnsi="Arial" w:cs="Arial"/>
          <w:sz w:val="20"/>
          <w:szCs w:val="20"/>
        </w:rPr>
        <w:t xml:space="preserve"> (and future assessments)</w:t>
      </w:r>
      <w:r w:rsidRPr="00833458">
        <w:rPr>
          <w:rFonts w:ascii="Arial" w:hAnsi="Arial" w:cs="Arial"/>
          <w:sz w:val="20"/>
          <w:szCs w:val="20"/>
        </w:rPr>
        <w:t xml:space="preserve">, it is less important that the number is precise </w:t>
      </w:r>
      <w:proofErr w:type="gramStart"/>
      <w:r w:rsidRPr="00833458">
        <w:rPr>
          <w:rFonts w:ascii="Arial" w:hAnsi="Arial" w:cs="Arial"/>
          <w:sz w:val="20"/>
          <w:szCs w:val="20"/>
        </w:rPr>
        <w:t>as long as</w:t>
      </w:r>
      <w:proofErr w:type="gramEnd"/>
      <w:r w:rsidRPr="00833458">
        <w:rPr>
          <w:rFonts w:ascii="Arial" w:hAnsi="Arial" w:cs="Arial"/>
          <w:sz w:val="20"/>
          <w:szCs w:val="20"/>
        </w:rPr>
        <w:t xml:space="preserve"> the evidence demonstrates that a project made intentional course correction based on lessons learned from MEL, analysis and context factors throughout the project for improvement.</w:t>
      </w:r>
      <w:r w:rsidR="002B2F4F">
        <w:rPr>
          <w:rFonts w:ascii="Arial" w:hAnsi="Arial" w:cs="Arial"/>
          <w:sz w:val="20"/>
          <w:szCs w:val="20"/>
        </w:rPr>
        <w:t xml:space="preserve"> The causal analysis provided in the qualitative narrative accompanying the scores are essential to providing meaning and rigour to the assessment.</w:t>
      </w:r>
    </w:p>
    <w:p w14:paraId="326A0F1A" w14:textId="77777777" w:rsidR="00833458" w:rsidRPr="00833458" w:rsidRDefault="00833458" w:rsidP="00833458">
      <w:pPr>
        <w:spacing w:after="0"/>
        <w:rPr>
          <w:rFonts w:ascii="Arial" w:hAnsi="Arial" w:cs="Arial"/>
          <w:sz w:val="20"/>
          <w:szCs w:val="20"/>
        </w:rPr>
      </w:pPr>
    </w:p>
    <w:p w14:paraId="3E5D78A0" w14:textId="17C0EB92" w:rsidR="00EE30C8" w:rsidRDefault="00833458" w:rsidP="003157E4">
      <w:pPr>
        <w:spacing w:after="0"/>
        <w:rPr>
          <w:rFonts w:ascii="Arial" w:hAnsi="Arial" w:cs="Arial"/>
          <w:sz w:val="20"/>
          <w:szCs w:val="20"/>
        </w:rPr>
      </w:pPr>
      <w:r w:rsidRPr="00833458">
        <w:rPr>
          <w:rFonts w:ascii="Arial" w:hAnsi="Arial" w:cs="Arial"/>
          <w:sz w:val="20"/>
          <w:szCs w:val="20"/>
        </w:rPr>
        <w:t xml:space="preserve">It is also relevant to note that the 2 projects that were assessed as not meeting this indicator criteria were done by a different coder than the rest of the projects as they were in Spanish and had to be sourced to </w:t>
      </w:r>
      <w:r w:rsidRPr="00833458">
        <w:rPr>
          <w:rFonts w:ascii="Arial" w:hAnsi="Arial" w:cs="Arial"/>
          <w:sz w:val="20"/>
          <w:szCs w:val="20"/>
        </w:rPr>
        <w:lastRenderedPageBreak/>
        <w:t>another GPSA team member who was junior and did not develop nor was deeply familiar with the MERL guide criteria. Although they received guidance and review from the main coder, since this indicator requires reading of all documents in Spanish to identify all the specific examples of course corrections, the main coder could not quality check this indicator in the way they could for the other indicators. This means that there is a chance there was a different interpretation to this indicator and if it were done by the same coder, the score may be different.</w:t>
      </w:r>
    </w:p>
    <w:p w14:paraId="585A7CF8" w14:textId="77777777" w:rsidR="00C73C8C" w:rsidRDefault="00C73C8C" w:rsidP="00EE30C8">
      <w:pPr>
        <w:spacing w:after="0"/>
        <w:rPr>
          <w:rFonts w:ascii="Arial" w:hAnsi="Arial" w:cs="Arial"/>
          <w:b/>
          <w:bCs/>
          <w:sz w:val="20"/>
          <w:szCs w:val="20"/>
          <w:u w:val="single"/>
        </w:rPr>
      </w:pPr>
    </w:p>
    <w:p w14:paraId="1384F2A3" w14:textId="1DFB9A48" w:rsidR="004819B5" w:rsidRPr="00833458" w:rsidRDefault="00EE30C8" w:rsidP="00EE30C8">
      <w:pPr>
        <w:spacing w:after="0"/>
        <w:rPr>
          <w:rFonts w:ascii="Arial" w:hAnsi="Arial" w:cs="Arial"/>
          <w:b/>
          <w:bCs/>
          <w:sz w:val="20"/>
          <w:szCs w:val="20"/>
          <w:u w:val="single"/>
        </w:rPr>
      </w:pPr>
      <w:r w:rsidRPr="00833458">
        <w:rPr>
          <w:rFonts w:ascii="Arial" w:hAnsi="Arial" w:cs="Arial"/>
          <w:b/>
          <w:bCs/>
          <w:sz w:val="20"/>
          <w:szCs w:val="20"/>
          <w:u w:val="single"/>
        </w:rPr>
        <w:t>Output 3</w:t>
      </w:r>
      <w:r w:rsidR="004819B5" w:rsidRPr="00833458">
        <w:rPr>
          <w:rFonts w:ascii="Arial" w:hAnsi="Arial" w:cs="Arial"/>
          <w:b/>
          <w:bCs/>
          <w:sz w:val="20"/>
          <w:szCs w:val="20"/>
          <w:u w:val="single"/>
        </w:rPr>
        <w:t xml:space="preserve"> Indicator:</w:t>
      </w:r>
    </w:p>
    <w:p w14:paraId="24B6B6E3" w14:textId="77777777" w:rsidR="004819B5" w:rsidRDefault="004819B5" w:rsidP="00EE30C8">
      <w:pPr>
        <w:spacing w:after="0"/>
        <w:rPr>
          <w:rFonts w:ascii="Arial" w:hAnsi="Arial" w:cs="Arial"/>
          <w:sz w:val="20"/>
          <w:szCs w:val="20"/>
        </w:rPr>
      </w:pPr>
    </w:p>
    <w:p w14:paraId="30F8A926" w14:textId="52137F07" w:rsidR="00766FDB" w:rsidRPr="00766FDB" w:rsidRDefault="004819B5" w:rsidP="00766FDB">
      <w:pPr>
        <w:spacing w:after="0" w:line="240" w:lineRule="auto"/>
        <w:rPr>
          <w:rFonts w:ascii="Arial" w:eastAsia="Times New Roman" w:hAnsi="Arial" w:cs="Arial"/>
          <w:color w:val="000000"/>
          <w:sz w:val="20"/>
          <w:szCs w:val="20"/>
          <w:lang w:eastAsia="en-CA"/>
        </w:rPr>
      </w:pPr>
      <w:r w:rsidRPr="004819B5">
        <w:rPr>
          <w:rFonts w:ascii="Arial" w:hAnsi="Arial" w:cs="Arial"/>
          <w:i/>
          <w:iCs/>
          <w:sz w:val="20"/>
          <w:szCs w:val="20"/>
        </w:rPr>
        <w:t>Overview:</w:t>
      </w:r>
      <w:r>
        <w:rPr>
          <w:rFonts w:ascii="Arial" w:hAnsi="Arial" w:cs="Arial"/>
          <w:sz w:val="20"/>
          <w:szCs w:val="20"/>
        </w:rPr>
        <w:t xml:space="preserve"> </w:t>
      </w:r>
      <w:r w:rsidR="00766FDB">
        <w:rPr>
          <w:rFonts w:ascii="Arial" w:eastAsia="Times New Roman" w:hAnsi="Arial" w:cs="Arial"/>
          <w:color w:val="000000"/>
          <w:sz w:val="20"/>
          <w:szCs w:val="20"/>
          <w:lang w:eastAsia="en-CA"/>
        </w:rPr>
        <w:t>It is important to note that this indicator ((N</w:t>
      </w:r>
      <w:r w:rsidR="00766FDB" w:rsidRPr="003157E4">
        <w:rPr>
          <w:rFonts w:ascii="Arial" w:eastAsia="Times New Roman" w:hAnsi="Arial" w:cs="Arial"/>
          <w:sz w:val="20"/>
          <w:szCs w:val="20"/>
        </w:rPr>
        <w:t>umber of grants for which World Bank sector teams supported engagement between civil society and government</w:t>
      </w:r>
      <w:r w:rsidR="00766FDB">
        <w:rPr>
          <w:rFonts w:ascii="Arial" w:eastAsia="Times New Roman" w:hAnsi="Arial" w:cs="Arial"/>
          <w:sz w:val="20"/>
          <w:szCs w:val="20"/>
        </w:rPr>
        <w:t>), i</w:t>
      </w:r>
      <w:r w:rsidR="00766FDB">
        <w:rPr>
          <w:rFonts w:ascii="Arial" w:eastAsia="Times New Roman" w:hAnsi="Arial" w:cs="Arial"/>
          <w:color w:val="000000"/>
          <w:sz w:val="20"/>
          <w:szCs w:val="20"/>
          <w:lang w:eastAsia="en-CA"/>
        </w:rPr>
        <w:t>s not an operational one and therefore was not included in the MERL Guide, at the time of the coding exercise, a m</w:t>
      </w:r>
      <w:r w:rsidR="00766FDB" w:rsidRPr="0054538E">
        <w:rPr>
          <w:rFonts w:ascii="Arial" w:eastAsia="Times New Roman" w:hAnsi="Arial" w:cs="Arial"/>
          <w:color w:val="000000"/>
          <w:sz w:val="20"/>
          <w:szCs w:val="20"/>
          <w:lang w:eastAsia="en-CA"/>
        </w:rPr>
        <w:t xml:space="preserve">ethod </w:t>
      </w:r>
      <w:r w:rsidR="00766FDB">
        <w:rPr>
          <w:rFonts w:ascii="Arial" w:eastAsia="Times New Roman" w:hAnsi="Arial" w:cs="Arial"/>
          <w:color w:val="000000"/>
          <w:sz w:val="20"/>
          <w:szCs w:val="20"/>
          <w:lang w:eastAsia="en-CA"/>
        </w:rPr>
        <w:t xml:space="preserve">had </w:t>
      </w:r>
      <w:r w:rsidR="00766FDB" w:rsidRPr="0054538E">
        <w:rPr>
          <w:rFonts w:ascii="Arial" w:eastAsia="Times New Roman" w:hAnsi="Arial" w:cs="Arial"/>
          <w:color w:val="000000"/>
          <w:sz w:val="20"/>
          <w:szCs w:val="20"/>
          <w:lang w:eastAsia="en-CA"/>
        </w:rPr>
        <w:t xml:space="preserve">not yet </w:t>
      </w:r>
      <w:r w:rsidR="00766FDB">
        <w:rPr>
          <w:rFonts w:ascii="Arial" w:eastAsia="Times New Roman" w:hAnsi="Arial" w:cs="Arial"/>
          <w:color w:val="000000"/>
          <w:sz w:val="20"/>
          <w:szCs w:val="20"/>
          <w:lang w:eastAsia="en-CA"/>
        </w:rPr>
        <w:t xml:space="preserve">been fully </w:t>
      </w:r>
      <w:r w:rsidR="00766FDB" w:rsidRPr="0054538E">
        <w:rPr>
          <w:rFonts w:ascii="Arial" w:eastAsia="Times New Roman" w:hAnsi="Arial" w:cs="Arial"/>
          <w:color w:val="000000"/>
          <w:sz w:val="20"/>
          <w:szCs w:val="20"/>
          <w:lang w:eastAsia="en-CA"/>
        </w:rPr>
        <w:t>developed</w:t>
      </w:r>
      <w:r w:rsidR="00766FDB">
        <w:rPr>
          <w:rFonts w:ascii="Arial" w:eastAsia="Times New Roman" w:hAnsi="Arial" w:cs="Arial"/>
          <w:color w:val="000000"/>
          <w:sz w:val="20"/>
          <w:szCs w:val="20"/>
          <w:lang w:eastAsia="en-CA"/>
        </w:rPr>
        <w:t>. The GPSA asked the consultant to include it based on the available evidence, and it was</w:t>
      </w:r>
      <w:r w:rsidR="00766FDB" w:rsidRPr="0054538E">
        <w:rPr>
          <w:rFonts w:ascii="Arial" w:eastAsia="Times New Roman" w:hAnsi="Arial" w:cs="Arial"/>
          <w:color w:val="000000"/>
          <w:sz w:val="20"/>
          <w:szCs w:val="20"/>
          <w:lang w:eastAsia="en-CA"/>
        </w:rPr>
        <w:t xml:space="preserve"> agreed </w:t>
      </w:r>
      <w:r w:rsidR="00766FDB">
        <w:rPr>
          <w:rFonts w:ascii="Arial" w:eastAsia="Times New Roman" w:hAnsi="Arial" w:cs="Arial"/>
          <w:color w:val="000000"/>
          <w:sz w:val="20"/>
          <w:szCs w:val="20"/>
          <w:lang w:eastAsia="en-CA"/>
        </w:rPr>
        <w:t>that a</w:t>
      </w:r>
      <w:r w:rsidR="00766FDB" w:rsidRPr="0054538E">
        <w:rPr>
          <w:rFonts w:ascii="Arial" w:eastAsia="Times New Roman" w:hAnsi="Arial" w:cs="Arial"/>
          <w:color w:val="000000"/>
          <w:sz w:val="20"/>
          <w:szCs w:val="20"/>
          <w:lang w:eastAsia="en-CA"/>
        </w:rPr>
        <w:t xml:space="preserve"> simple yes or no</w:t>
      </w:r>
      <w:r w:rsidR="00766FDB">
        <w:rPr>
          <w:rFonts w:ascii="Arial" w:eastAsia="Times New Roman" w:hAnsi="Arial" w:cs="Arial"/>
          <w:color w:val="000000"/>
          <w:sz w:val="20"/>
          <w:szCs w:val="20"/>
          <w:lang w:eastAsia="en-CA"/>
        </w:rPr>
        <w:t xml:space="preserve"> would be used to determine the value for the purposes of this exercise.</w:t>
      </w:r>
    </w:p>
    <w:p w14:paraId="4EAE50D2" w14:textId="77777777" w:rsidR="00766FDB" w:rsidRDefault="00766FDB" w:rsidP="00EE30C8">
      <w:pPr>
        <w:spacing w:after="0"/>
        <w:rPr>
          <w:rFonts w:ascii="Arial" w:hAnsi="Arial" w:cs="Arial"/>
          <w:sz w:val="20"/>
          <w:szCs w:val="20"/>
        </w:rPr>
      </w:pPr>
    </w:p>
    <w:p w14:paraId="19118F12" w14:textId="2A09F161" w:rsidR="00766FDB" w:rsidRDefault="004819B5" w:rsidP="00EE30C8">
      <w:pPr>
        <w:spacing w:after="0"/>
        <w:rPr>
          <w:rFonts w:ascii="Arial" w:hAnsi="Arial" w:cs="Arial"/>
          <w:sz w:val="20"/>
          <w:szCs w:val="20"/>
        </w:rPr>
      </w:pPr>
      <w:r w:rsidRPr="004819B5">
        <w:rPr>
          <w:rFonts w:ascii="Arial" w:hAnsi="Arial" w:cs="Arial"/>
          <w:sz w:val="20"/>
          <w:szCs w:val="20"/>
        </w:rPr>
        <w:t>As all projects</w:t>
      </w:r>
      <w:r>
        <w:rPr>
          <w:rFonts w:ascii="Arial" w:hAnsi="Arial" w:cs="Arial"/>
          <w:sz w:val="20"/>
          <w:szCs w:val="20"/>
        </w:rPr>
        <w:t xml:space="preserve"> were coded as</w:t>
      </w:r>
      <w:r w:rsidRPr="004819B5">
        <w:rPr>
          <w:rFonts w:ascii="Arial" w:hAnsi="Arial" w:cs="Arial"/>
          <w:sz w:val="20"/>
          <w:szCs w:val="20"/>
        </w:rPr>
        <w:t xml:space="preserve"> </w:t>
      </w:r>
      <w:r>
        <w:rPr>
          <w:rFonts w:ascii="Arial" w:hAnsi="Arial" w:cs="Arial"/>
          <w:sz w:val="20"/>
          <w:szCs w:val="20"/>
        </w:rPr>
        <w:t>fulfilling</w:t>
      </w:r>
      <w:r w:rsidRPr="004819B5">
        <w:rPr>
          <w:rFonts w:ascii="Arial" w:hAnsi="Arial" w:cs="Arial"/>
          <w:sz w:val="20"/>
          <w:szCs w:val="20"/>
        </w:rPr>
        <w:t xml:space="preserve"> the criteria across the full sample, an aggregate value of </w:t>
      </w:r>
      <w:r w:rsidR="008D2291">
        <w:rPr>
          <w:rFonts w:ascii="Arial" w:hAnsi="Arial" w:cs="Arial"/>
          <w:sz w:val="20"/>
          <w:szCs w:val="20"/>
        </w:rPr>
        <w:t xml:space="preserve">15 projects or </w:t>
      </w:r>
      <w:r w:rsidRPr="004819B5">
        <w:rPr>
          <w:rFonts w:ascii="Arial" w:hAnsi="Arial" w:cs="Arial"/>
          <w:sz w:val="20"/>
          <w:szCs w:val="20"/>
        </w:rPr>
        <w:t>100% was provided.</w:t>
      </w:r>
      <w:r>
        <w:rPr>
          <w:rFonts w:ascii="Arial" w:hAnsi="Arial" w:cs="Arial"/>
          <w:sz w:val="20"/>
          <w:szCs w:val="20"/>
        </w:rPr>
        <w:t xml:space="preserve"> This</w:t>
      </w:r>
      <w:r w:rsidR="00EE30C8">
        <w:rPr>
          <w:rFonts w:ascii="Arial" w:hAnsi="Arial" w:cs="Arial"/>
          <w:sz w:val="20"/>
          <w:szCs w:val="20"/>
        </w:rPr>
        <w:t xml:space="preserve"> </w:t>
      </w:r>
      <w:r>
        <w:rPr>
          <w:rFonts w:ascii="Arial" w:hAnsi="Arial" w:cs="Arial"/>
          <w:sz w:val="20"/>
          <w:szCs w:val="20"/>
        </w:rPr>
        <w:t>indicators</w:t>
      </w:r>
      <w:r w:rsidR="00EE30C8">
        <w:rPr>
          <w:rFonts w:ascii="Arial" w:hAnsi="Arial" w:cs="Arial"/>
          <w:sz w:val="20"/>
          <w:szCs w:val="20"/>
        </w:rPr>
        <w:t xml:space="preserve"> </w:t>
      </w:r>
      <w:r>
        <w:rPr>
          <w:rFonts w:ascii="Arial" w:hAnsi="Arial" w:cs="Arial"/>
          <w:sz w:val="20"/>
          <w:szCs w:val="20"/>
        </w:rPr>
        <w:t xml:space="preserve">the </w:t>
      </w:r>
      <w:r w:rsidR="00EE30C8" w:rsidRPr="00EE30C8">
        <w:rPr>
          <w:rFonts w:ascii="Arial" w:hAnsi="Arial" w:cs="Arial"/>
          <w:sz w:val="20"/>
          <w:szCs w:val="20"/>
        </w:rPr>
        <w:t>World Bank</w:t>
      </w:r>
      <w:r>
        <w:rPr>
          <w:rFonts w:ascii="Arial" w:hAnsi="Arial" w:cs="Arial"/>
          <w:sz w:val="20"/>
          <w:szCs w:val="20"/>
        </w:rPr>
        <w:t>’s s</w:t>
      </w:r>
      <w:r w:rsidR="00EE30C8" w:rsidRPr="00EE30C8">
        <w:rPr>
          <w:rFonts w:ascii="Arial" w:hAnsi="Arial" w:cs="Arial"/>
          <w:sz w:val="20"/>
          <w:szCs w:val="20"/>
        </w:rPr>
        <w:t>upport for meaningful engagement between civil society and government (output 3 indicator)</w:t>
      </w:r>
      <w:r w:rsidR="00D871D3">
        <w:rPr>
          <w:rFonts w:ascii="Arial" w:hAnsi="Arial" w:cs="Arial"/>
          <w:sz w:val="20"/>
          <w:szCs w:val="20"/>
        </w:rPr>
        <w:t xml:space="preserve"> has been met in all projects at least to some degree with many projects yielding several examples of sector, TTL and GPSA support for the grant partner projects in the form of capacity building, trouble shooting, brokering linkages</w:t>
      </w:r>
      <w:r w:rsidR="00540554">
        <w:rPr>
          <w:rFonts w:ascii="Arial" w:hAnsi="Arial" w:cs="Arial"/>
          <w:sz w:val="20"/>
          <w:szCs w:val="20"/>
        </w:rPr>
        <w:t xml:space="preserve"> between the project and key stakeholders</w:t>
      </w:r>
      <w:r w:rsidR="00D871D3">
        <w:rPr>
          <w:rFonts w:ascii="Arial" w:hAnsi="Arial" w:cs="Arial"/>
          <w:sz w:val="20"/>
          <w:szCs w:val="20"/>
        </w:rPr>
        <w:t>, and providing hands-on guidance to projects</w:t>
      </w:r>
      <w:r w:rsidR="00EE30C8">
        <w:rPr>
          <w:rFonts w:ascii="Arial" w:hAnsi="Arial" w:cs="Arial"/>
          <w:sz w:val="20"/>
          <w:szCs w:val="20"/>
        </w:rPr>
        <w:t xml:space="preserve">. </w:t>
      </w:r>
    </w:p>
    <w:p w14:paraId="4BB6C044" w14:textId="3CFAD6E8" w:rsidR="004819B5" w:rsidRDefault="004819B5" w:rsidP="00EE30C8">
      <w:pPr>
        <w:spacing w:after="0"/>
        <w:rPr>
          <w:rFonts w:ascii="Arial" w:hAnsi="Arial" w:cs="Arial"/>
          <w:sz w:val="20"/>
          <w:szCs w:val="20"/>
        </w:rPr>
      </w:pPr>
    </w:p>
    <w:p w14:paraId="678206B5" w14:textId="59CD6DA9" w:rsidR="004819B5" w:rsidRPr="004819B5" w:rsidRDefault="004819B5" w:rsidP="004819B5">
      <w:pPr>
        <w:spacing w:after="0"/>
        <w:rPr>
          <w:rFonts w:ascii="Arial" w:hAnsi="Arial" w:cs="Arial"/>
          <w:sz w:val="20"/>
          <w:szCs w:val="20"/>
        </w:rPr>
      </w:pPr>
      <w:r>
        <w:rPr>
          <w:rFonts w:ascii="Arial" w:hAnsi="Arial" w:cs="Arial"/>
          <w:sz w:val="20"/>
          <w:szCs w:val="20"/>
        </w:rPr>
        <w:t>T</w:t>
      </w:r>
      <w:r w:rsidRPr="004819B5">
        <w:rPr>
          <w:rFonts w:ascii="Arial" w:hAnsi="Arial" w:cs="Arial"/>
          <w:sz w:val="20"/>
          <w:szCs w:val="20"/>
        </w:rPr>
        <w:t>his is a Yes/No indicator therefore the coder determined the value by looking across the evidence base for specific examples of how the WB country staff, TTL and the GPSA supported the project in different ways such as brokering relationships and linkages with key stakeholders, supporting problem solving and barriers, providing guidance and capacity building, conducting monitoring visits, etc. The coder also ensured that this was evident across the trajectory of the project for the indicator to be deemed as met.</w:t>
      </w:r>
    </w:p>
    <w:p w14:paraId="02482F64" w14:textId="63D0360C" w:rsidR="004819B5" w:rsidRPr="004819B5" w:rsidRDefault="004819B5" w:rsidP="004819B5">
      <w:pPr>
        <w:spacing w:after="0"/>
        <w:rPr>
          <w:rFonts w:ascii="Arial" w:hAnsi="Arial" w:cs="Arial"/>
          <w:sz w:val="20"/>
          <w:szCs w:val="20"/>
        </w:rPr>
      </w:pPr>
      <w:proofErr w:type="gramStart"/>
      <w:r w:rsidRPr="004819B5">
        <w:rPr>
          <w:rFonts w:ascii="Arial" w:hAnsi="Arial" w:cs="Arial"/>
          <w:sz w:val="20"/>
          <w:szCs w:val="20"/>
        </w:rPr>
        <w:t>Particular evidence</w:t>
      </w:r>
      <w:proofErr w:type="gramEnd"/>
      <w:r w:rsidRPr="004819B5">
        <w:rPr>
          <w:rFonts w:ascii="Arial" w:hAnsi="Arial" w:cs="Arial"/>
          <w:sz w:val="20"/>
          <w:szCs w:val="20"/>
        </w:rPr>
        <w:t xml:space="preserve"> that was useful for this indicator were the ICR reports as they assess WB performance on the project, the final evaluations as they are </w:t>
      </w:r>
      <w:r w:rsidR="00772B25" w:rsidRPr="004819B5">
        <w:rPr>
          <w:rFonts w:ascii="Arial" w:hAnsi="Arial" w:cs="Arial"/>
          <w:sz w:val="20"/>
          <w:szCs w:val="20"/>
        </w:rPr>
        <w:t>independent,</w:t>
      </w:r>
      <w:r w:rsidRPr="004819B5">
        <w:rPr>
          <w:rFonts w:ascii="Arial" w:hAnsi="Arial" w:cs="Arial"/>
          <w:sz w:val="20"/>
          <w:szCs w:val="20"/>
        </w:rPr>
        <w:t xml:space="preserve"> and the progress report sections in which the grant partner provides specific feedback on the GPSA and TTL support. Specific examples and quotes are provided in each of the project coding files with sources and page numbers.</w:t>
      </w:r>
    </w:p>
    <w:p w14:paraId="6D8CAF2C" w14:textId="38F4C077" w:rsidR="00EE30C8" w:rsidRDefault="00EE30C8" w:rsidP="003157E4">
      <w:pPr>
        <w:spacing w:after="0"/>
        <w:rPr>
          <w:rFonts w:ascii="Arial" w:hAnsi="Arial" w:cs="Arial"/>
          <w:sz w:val="20"/>
          <w:szCs w:val="20"/>
          <w:lang w:val="en-US"/>
        </w:rPr>
      </w:pPr>
    </w:p>
    <w:p w14:paraId="32BC3098" w14:textId="7E1536AB" w:rsidR="004819B5" w:rsidRPr="004819B5" w:rsidRDefault="004819B5" w:rsidP="004819B5">
      <w:pPr>
        <w:spacing w:after="0"/>
        <w:rPr>
          <w:rFonts w:ascii="Arial" w:hAnsi="Arial" w:cs="Arial"/>
          <w:sz w:val="20"/>
          <w:szCs w:val="20"/>
          <w:lang w:val="en-US"/>
        </w:rPr>
      </w:pPr>
      <w:r w:rsidRPr="004819B5">
        <w:rPr>
          <w:rFonts w:ascii="Arial" w:hAnsi="Arial" w:cs="Arial"/>
          <w:i/>
          <w:iCs/>
          <w:sz w:val="20"/>
          <w:szCs w:val="20"/>
          <w:lang w:val="en-US"/>
        </w:rPr>
        <w:t>Limitations:</w:t>
      </w:r>
      <w:r>
        <w:rPr>
          <w:rFonts w:ascii="Arial" w:hAnsi="Arial" w:cs="Arial"/>
          <w:sz w:val="20"/>
          <w:szCs w:val="20"/>
          <w:lang w:val="en-US"/>
        </w:rPr>
        <w:t xml:space="preserve"> </w:t>
      </w:r>
      <w:r w:rsidRPr="004819B5">
        <w:rPr>
          <w:rFonts w:ascii="Arial" w:hAnsi="Arial" w:cs="Arial"/>
          <w:sz w:val="20"/>
          <w:szCs w:val="20"/>
          <w:lang w:val="en-US"/>
        </w:rPr>
        <w:t xml:space="preserve">In interpreting the aggregate values the following limitations and </w:t>
      </w:r>
      <w:r w:rsidR="00772B25" w:rsidRPr="004819B5">
        <w:rPr>
          <w:rFonts w:ascii="Arial" w:hAnsi="Arial" w:cs="Arial"/>
          <w:sz w:val="20"/>
          <w:szCs w:val="20"/>
          <w:lang w:val="en-US"/>
        </w:rPr>
        <w:t>biases</w:t>
      </w:r>
      <w:r w:rsidRPr="004819B5">
        <w:rPr>
          <w:rFonts w:ascii="Arial" w:hAnsi="Arial" w:cs="Arial"/>
          <w:sz w:val="20"/>
          <w:szCs w:val="20"/>
          <w:lang w:val="en-US"/>
        </w:rPr>
        <w:t xml:space="preserve"> should </w:t>
      </w:r>
      <w:proofErr w:type="gramStart"/>
      <w:r w:rsidRPr="004819B5">
        <w:rPr>
          <w:rFonts w:ascii="Arial" w:hAnsi="Arial" w:cs="Arial"/>
          <w:sz w:val="20"/>
          <w:szCs w:val="20"/>
          <w:lang w:val="en-US"/>
        </w:rPr>
        <w:t>be noted</w:t>
      </w:r>
      <w:proofErr w:type="gramEnd"/>
      <w:r w:rsidRPr="004819B5">
        <w:rPr>
          <w:rFonts w:ascii="Arial" w:hAnsi="Arial" w:cs="Arial"/>
          <w:sz w:val="20"/>
          <w:szCs w:val="20"/>
          <w:lang w:val="en-US"/>
        </w:rPr>
        <w:t>:</w:t>
      </w:r>
    </w:p>
    <w:p w14:paraId="78A0F4BB" w14:textId="7B0B4997" w:rsidR="004819B5" w:rsidRPr="004819B5" w:rsidRDefault="004819B5" w:rsidP="004819B5">
      <w:pPr>
        <w:pStyle w:val="ListParagraph"/>
        <w:numPr>
          <w:ilvl w:val="0"/>
          <w:numId w:val="22"/>
        </w:numPr>
        <w:spacing w:after="0"/>
        <w:rPr>
          <w:rFonts w:ascii="Arial" w:hAnsi="Arial" w:cs="Arial"/>
          <w:sz w:val="20"/>
          <w:szCs w:val="20"/>
        </w:rPr>
      </w:pPr>
      <w:proofErr w:type="gramStart"/>
      <w:r w:rsidRPr="004819B5">
        <w:rPr>
          <w:rFonts w:ascii="Arial" w:hAnsi="Arial" w:cs="Arial"/>
          <w:sz w:val="20"/>
          <w:szCs w:val="20"/>
        </w:rPr>
        <w:t>Several of</w:t>
      </w:r>
      <w:proofErr w:type="gramEnd"/>
      <w:r w:rsidRPr="004819B5">
        <w:rPr>
          <w:rFonts w:ascii="Arial" w:hAnsi="Arial" w:cs="Arial"/>
          <w:sz w:val="20"/>
          <w:szCs w:val="20"/>
        </w:rPr>
        <w:t xml:space="preserve"> the ICR reports were not completed in full and lacked the necessary information on TTL/WB support or the ranking that is meant to be included.</w:t>
      </w:r>
    </w:p>
    <w:p w14:paraId="51D9AF01" w14:textId="77777777" w:rsidR="004819B5" w:rsidRPr="004819B5" w:rsidRDefault="004819B5" w:rsidP="004819B5">
      <w:pPr>
        <w:pStyle w:val="ListParagraph"/>
        <w:numPr>
          <w:ilvl w:val="0"/>
          <w:numId w:val="22"/>
        </w:numPr>
        <w:spacing w:after="0"/>
        <w:rPr>
          <w:rFonts w:ascii="Arial" w:hAnsi="Arial" w:cs="Arial"/>
          <w:sz w:val="20"/>
          <w:szCs w:val="20"/>
        </w:rPr>
      </w:pPr>
      <w:r w:rsidRPr="004819B5">
        <w:rPr>
          <w:rFonts w:ascii="Arial" w:hAnsi="Arial" w:cs="Arial"/>
          <w:sz w:val="20"/>
          <w:szCs w:val="20"/>
        </w:rPr>
        <w:t xml:space="preserve">The reporting on WB support in progress reports by the grant partner could </w:t>
      </w:r>
      <w:proofErr w:type="gramStart"/>
      <w:r w:rsidRPr="004819B5">
        <w:rPr>
          <w:rFonts w:ascii="Arial" w:hAnsi="Arial" w:cs="Arial"/>
          <w:sz w:val="20"/>
          <w:szCs w:val="20"/>
        </w:rPr>
        <w:t>be influenced</w:t>
      </w:r>
      <w:proofErr w:type="gramEnd"/>
      <w:r w:rsidRPr="004819B5">
        <w:rPr>
          <w:rFonts w:ascii="Arial" w:hAnsi="Arial" w:cs="Arial"/>
          <w:sz w:val="20"/>
          <w:szCs w:val="20"/>
        </w:rPr>
        <w:t xml:space="preserve"> by power dynamics of the donor/grant recipient nature.</w:t>
      </w:r>
    </w:p>
    <w:p w14:paraId="271BA9FB" w14:textId="77777777" w:rsidR="004819B5" w:rsidRPr="004819B5" w:rsidRDefault="004819B5" w:rsidP="004819B5">
      <w:pPr>
        <w:pStyle w:val="ListParagraph"/>
        <w:numPr>
          <w:ilvl w:val="0"/>
          <w:numId w:val="22"/>
        </w:numPr>
        <w:spacing w:after="0"/>
        <w:rPr>
          <w:rFonts w:ascii="Arial" w:hAnsi="Arial" w:cs="Arial"/>
          <w:sz w:val="20"/>
          <w:szCs w:val="20"/>
        </w:rPr>
      </w:pPr>
      <w:r w:rsidRPr="004819B5">
        <w:rPr>
          <w:rFonts w:ascii="Arial" w:hAnsi="Arial" w:cs="Arial"/>
          <w:sz w:val="20"/>
          <w:szCs w:val="20"/>
        </w:rPr>
        <w:t xml:space="preserve">Not all the evaluations available in the project sample included reference or assessment to WB support; where this was available, the score can </w:t>
      </w:r>
      <w:proofErr w:type="gramStart"/>
      <w:r w:rsidRPr="004819B5">
        <w:rPr>
          <w:rFonts w:ascii="Arial" w:hAnsi="Arial" w:cs="Arial"/>
          <w:sz w:val="20"/>
          <w:szCs w:val="20"/>
        </w:rPr>
        <w:t>be deemed</w:t>
      </w:r>
      <w:proofErr w:type="gramEnd"/>
      <w:r w:rsidRPr="004819B5">
        <w:rPr>
          <w:rFonts w:ascii="Arial" w:hAnsi="Arial" w:cs="Arial"/>
          <w:sz w:val="20"/>
          <w:szCs w:val="20"/>
        </w:rPr>
        <w:t xml:space="preserve"> as more substantiated due to its independence.</w:t>
      </w:r>
    </w:p>
    <w:p w14:paraId="4B4C4FB1" w14:textId="77777777" w:rsidR="009B47A5" w:rsidRDefault="009B47A5" w:rsidP="004819B5">
      <w:pPr>
        <w:spacing w:after="0"/>
        <w:rPr>
          <w:rFonts w:ascii="Arial" w:hAnsi="Arial" w:cs="Arial"/>
          <w:sz w:val="20"/>
          <w:szCs w:val="20"/>
          <w:lang w:val="en-US"/>
        </w:rPr>
      </w:pPr>
    </w:p>
    <w:p w14:paraId="6B54DC3F" w14:textId="30518A0E" w:rsidR="004819B5" w:rsidRPr="004819B5" w:rsidRDefault="004819B5" w:rsidP="004819B5">
      <w:pPr>
        <w:spacing w:after="0"/>
        <w:rPr>
          <w:rFonts w:ascii="Arial" w:hAnsi="Arial" w:cs="Arial"/>
          <w:sz w:val="20"/>
          <w:szCs w:val="20"/>
          <w:lang w:val="en-US"/>
        </w:rPr>
      </w:pPr>
      <w:r w:rsidRPr="004819B5">
        <w:rPr>
          <w:rFonts w:ascii="Arial" w:hAnsi="Arial" w:cs="Arial"/>
          <w:sz w:val="20"/>
          <w:szCs w:val="20"/>
          <w:lang w:val="en-US"/>
        </w:rPr>
        <w:t xml:space="preserve">A 'partial' score for </w:t>
      </w:r>
      <w:proofErr w:type="gramStart"/>
      <w:r w:rsidRPr="004819B5">
        <w:rPr>
          <w:rFonts w:ascii="Arial" w:hAnsi="Arial" w:cs="Arial"/>
          <w:sz w:val="20"/>
          <w:szCs w:val="20"/>
          <w:lang w:val="en-US"/>
        </w:rPr>
        <w:t>some of</w:t>
      </w:r>
      <w:proofErr w:type="gramEnd"/>
      <w:r w:rsidRPr="004819B5">
        <w:rPr>
          <w:rFonts w:ascii="Arial" w:hAnsi="Arial" w:cs="Arial"/>
          <w:sz w:val="20"/>
          <w:szCs w:val="20"/>
          <w:lang w:val="en-US"/>
        </w:rPr>
        <w:t xml:space="preserve"> the projects would have been more appropriate as there was evidence of support but also evidence of areas for improvement, missed opportunities or insufficient support. </w:t>
      </w:r>
      <w:r w:rsidR="00772B25" w:rsidRPr="004819B5">
        <w:rPr>
          <w:rFonts w:ascii="Arial" w:hAnsi="Arial" w:cs="Arial"/>
          <w:sz w:val="20"/>
          <w:szCs w:val="20"/>
          <w:lang w:val="en-US"/>
        </w:rPr>
        <w:t>However,</w:t>
      </w:r>
      <w:r w:rsidRPr="004819B5">
        <w:rPr>
          <w:rFonts w:ascii="Arial" w:hAnsi="Arial" w:cs="Arial"/>
          <w:sz w:val="20"/>
          <w:szCs w:val="20"/>
          <w:lang w:val="en-US"/>
        </w:rPr>
        <w:t xml:space="preserve"> given the Yes/No choice, all projects in the sample had enough evidence to warrant a yes rather than no.</w:t>
      </w:r>
    </w:p>
    <w:p w14:paraId="37BA73CB" w14:textId="77777777" w:rsidR="009B47A5" w:rsidRDefault="009B47A5" w:rsidP="004819B5">
      <w:pPr>
        <w:spacing w:after="0"/>
        <w:rPr>
          <w:rFonts w:ascii="Arial" w:hAnsi="Arial" w:cs="Arial"/>
          <w:sz w:val="20"/>
          <w:szCs w:val="20"/>
          <w:lang w:val="en-US"/>
        </w:rPr>
      </w:pPr>
    </w:p>
    <w:p w14:paraId="2088676E" w14:textId="499A18E9" w:rsidR="004819B5" w:rsidRDefault="004819B5" w:rsidP="004819B5">
      <w:pPr>
        <w:spacing w:after="0"/>
        <w:rPr>
          <w:rFonts w:ascii="Arial" w:hAnsi="Arial" w:cs="Arial"/>
          <w:sz w:val="20"/>
          <w:szCs w:val="20"/>
          <w:lang w:val="en-US"/>
        </w:rPr>
      </w:pPr>
      <w:r w:rsidRPr="004819B5">
        <w:rPr>
          <w:rFonts w:ascii="Arial" w:hAnsi="Arial" w:cs="Arial"/>
          <w:sz w:val="20"/>
          <w:szCs w:val="20"/>
          <w:lang w:val="en-US"/>
        </w:rPr>
        <w:t xml:space="preserve">To understand which projects achieved a full 'yes' and which ones would have received a 'partial' if that </w:t>
      </w:r>
      <w:proofErr w:type="gramStart"/>
      <w:r w:rsidRPr="004819B5">
        <w:rPr>
          <w:rFonts w:ascii="Arial" w:hAnsi="Arial" w:cs="Arial"/>
          <w:sz w:val="20"/>
          <w:szCs w:val="20"/>
          <w:lang w:val="en-US"/>
        </w:rPr>
        <w:t>was</w:t>
      </w:r>
      <w:proofErr w:type="gramEnd"/>
      <w:r w:rsidRPr="004819B5">
        <w:rPr>
          <w:rFonts w:ascii="Arial" w:hAnsi="Arial" w:cs="Arial"/>
          <w:sz w:val="20"/>
          <w:szCs w:val="20"/>
          <w:lang w:val="en-US"/>
        </w:rPr>
        <w:t xml:space="preserve"> an available indicator assessment value, it is important to reference the specific project coded files and the narrative information for this indicator.</w:t>
      </w:r>
    </w:p>
    <w:p w14:paraId="20D18910" w14:textId="2183DE24" w:rsidR="004819B5" w:rsidRDefault="004819B5" w:rsidP="004819B5">
      <w:pPr>
        <w:spacing w:after="0"/>
        <w:rPr>
          <w:rFonts w:ascii="Arial" w:hAnsi="Arial" w:cs="Arial"/>
          <w:sz w:val="20"/>
          <w:szCs w:val="20"/>
          <w:lang w:val="en-US"/>
        </w:rPr>
      </w:pPr>
    </w:p>
    <w:p w14:paraId="7DE8499A" w14:textId="38501274" w:rsidR="009B47A5" w:rsidRDefault="004819B5" w:rsidP="00874AAB">
      <w:pPr>
        <w:spacing w:after="0"/>
        <w:rPr>
          <w:rFonts w:ascii="Arial" w:hAnsi="Arial" w:cs="Arial"/>
          <w:sz w:val="20"/>
          <w:szCs w:val="20"/>
        </w:rPr>
      </w:pPr>
      <w:r>
        <w:rPr>
          <w:rFonts w:ascii="Arial" w:hAnsi="Arial" w:cs="Arial"/>
          <w:sz w:val="20"/>
          <w:szCs w:val="20"/>
        </w:rPr>
        <w:t xml:space="preserve">The coding process </w:t>
      </w:r>
      <w:r w:rsidR="009B47A5">
        <w:rPr>
          <w:rFonts w:ascii="Arial" w:hAnsi="Arial" w:cs="Arial"/>
          <w:sz w:val="20"/>
          <w:szCs w:val="20"/>
        </w:rPr>
        <w:t>therefore</w:t>
      </w:r>
      <w:r>
        <w:rPr>
          <w:rFonts w:ascii="Arial" w:hAnsi="Arial" w:cs="Arial"/>
          <w:sz w:val="20"/>
          <w:szCs w:val="20"/>
        </w:rPr>
        <w:t xml:space="preserve"> revealed that this indicator and coding frame</w:t>
      </w:r>
      <w:r w:rsidRPr="00EE30C8">
        <w:rPr>
          <w:rFonts w:ascii="Arial" w:hAnsi="Arial" w:cs="Arial"/>
          <w:sz w:val="20"/>
          <w:szCs w:val="20"/>
        </w:rPr>
        <w:t xml:space="preserve"> would benefit from a score of </w:t>
      </w:r>
      <w:r>
        <w:rPr>
          <w:rFonts w:ascii="Arial" w:hAnsi="Arial" w:cs="Arial"/>
          <w:sz w:val="20"/>
          <w:szCs w:val="20"/>
        </w:rPr>
        <w:t>‘</w:t>
      </w:r>
      <w:r w:rsidRPr="00EE30C8">
        <w:rPr>
          <w:rFonts w:ascii="Arial" w:hAnsi="Arial" w:cs="Arial"/>
          <w:sz w:val="20"/>
          <w:szCs w:val="20"/>
        </w:rPr>
        <w:t>partial</w:t>
      </w:r>
      <w:r>
        <w:rPr>
          <w:rFonts w:ascii="Arial" w:hAnsi="Arial" w:cs="Arial"/>
          <w:sz w:val="20"/>
          <w:szCs w:val="20"/>
        </w:rPr>
        <w:t xml:space="preserve">’ </w:t>
      </w:r>
      <w:r w:rsidRPr="00EE30C8">
        <w:rPr>
          <w:rFonts w:ascii="Arial" w:hAnsi="Arial" w:cs="Arial"/>
          <w:sz w:val="20"/>
          <w:szCs w:val="20"/>
        </w:rPr>
        <w:t xml:space="preserve">or </w:t>
      </w:r>
      <w:r>
        <w:rPr>
          <w:rFonts w:ascii="Arial" w:hAnsi="Arial" w:cs="Arial"/>
          <w:sz w:val="20"/>
          <w:szCs w:val="20"/>
        </w:rPr>
        <w:t xml:space="preserve">converting it to a </w:t>
      </w:r>
      <w:r w:rsidRPr="00EE30C8">
        <w:rPr>
          <w:rFonts w:ascii="Arial" w:hAnsi="Arial" w:cs="Arial"/>
          <w:sz w:val="20"/>
          <w:szCs w:val="20"/>
        </w:rPr>
        <w:t xml:space="preserve">ranking scale </w:t>
      </w:r>
      <w:r>
        <w:rPr>
          <w:rFonts w:ascii="Arial" w:hAnsi="Arial" w:cs="Arial"/>
          <w:sz w:val="20"/>
          <w:szCs w:val="20"/>
        </w:rPr>
        <w:t xml:space="preserve">rubric system </w:t>
      </w:r>
      <w:r w:rsidRPr="00EE30C8">
        <w:rPr>
          <w:rFonts w:ascii="Arial" w:hAnsi="Arial" w:cs="Arial"/>
          <w:sz w:val="20"/>
          <w:szCs w:val="20"/>
        </w:rPr>
        <w:t xml:space="preserve">(1-3 or 1-5 approach) and none of them </w:t>
      </w:r>
      <w:r w:rsidRPr="00EE30C8">
        <w:rPr>
          <w:rFonts w:ascii="Arial" w:hAnsi="Arial" w:cs="Arial"/>
          <w:sz w:val="20"/>
          <w:szCs w:val="20"/>
        </w:rPr>
        <w:lastRenderedPageBreak/>
        <w:t>warranted a no, based on the evidence available, however there are several projects that would not be deemed a full ‘yes’ if partial options were available in the coding frame.</w:t>
      </w:r>
    </w:p>
    <w:p w14:paraId="2B45395B" w14:textId="77777777" w:rsidR="009B47A5" w:rsidRPr="003157E4" w:rsidRDefault="009B47A5" w:rsidP="00874AAB">
      <w:pPr>
        <w:spacing w:after="0"/>
        <w:rPr>
          <w:rFonts w:ascii="Arial" w:hAnsi="Arial" w:cs="Arial"/>
          <w:sz w:val="20"/>
          <w:szCs w:val="20"/>
        </w:rPr>
      </w:pPr>
    </w:p>
    <w:p w14:paraId="5CF87949" w14:textId="34825B12" w:rsidR="00696021" w:rsidRPr="00696021" w:rsidRDefault="00874AAB" w:rsidP="000616BB">
      <w:pPr>
        <w:pStyle w:val="ListParagraph"/>
        <w:numPr>
          <w:ilvl w:val="3"/>
          <w:numId w:val="1"/>
        </w:numPr>
        <w:spacing w:after="0"/>
        <w:ind w:left="417"/>
        <w:rPr>
          <w:rFonts w:ascii="Arial" w:hAnsi="Arial" w:cs="Arial"/>
          <w:sz w:val="20"/>
          <w:szCs w:val="20"/>
        </w:rPr>
      </w:pPr>
      <w:r w:rsidRPr="000616BB">
        <w:rPr>
          <w:rFonts w:ascii="Arial" w:hAnsi="Arial" w:cs="Arial"/>
          <w:b/>
          <w:bCs/>
          <w:sz w:val="20"/>
          <w:szCs w:val="20"/>
        </w:rPr>
        <w:t>Observations</w:t>
      </w:r>
      <w:r w:rsidR="000616BB" w:rsidRPr="000616BB">
        <w:rPr>
          <w:rFonts w:ascii="Arial" w:hAnsi="Arial" w:cs="Arial"/>
          <w:b/>
          <w:bCs/>
          <w:sz w:val="20"/>
          <w:szCs w:val="20"/>
        </w:rPr>
        <w:t xml:space="preserve"> and recommendations</w:t>
      </w:r>
    </w:p>
    <w:p w14:paraId="704E7957" w14:textId="77777777" w:rsidR="00696021" w:rsidRDefault="00696021" w:rsidP="00696021">
      <w:pPr>
        <w:spacing w:after="0"/>
        <w:ind w:left="57"/>
        <w:rPr>
          <w:rFonts w:ascii="Arial" w:hAnsi="Arial" w:cs="Arial"/>
          <w:b/>
          <w:bCs/>
          <w:sz w:val="20"/>
          <w:szCs w:val="20"/>
        </w:rPr>
      </w:pPr>
    </w:p>
    <w:p w14:paraId="0325EC2B" w14:textId="5EC4FCDE" w:rsidR="000616BB" w:rsidRPr="00733CEF" w:rsidRDefault="00696021" w:rsidP="00696021">
      <w:pPr>
        <w:spacing w:after="0"/>
        <w:ind w:left="57"/>
        <w:rPr>
          <w:rFonts w:ascii="Arial" w:hAnsi="Arial" w:cs="Arial"/>
          <w:sz w:val="20"/>
          <w:szCs w:val="20"/>
        </w:rPr>
      </w:pPr>
      <w:r w:rsidRPr="005207A9">
        <w:rPr>
          <w:rFonts w:ascii="Arial" w:hAnsi="Arial" w:cs="Arial"/>
          <w:sz w:val="20"/>
          <w:szCs w:val="20"/>
        </w:rPr>
        <w:t xml:space="preserve">The following </w:t>
      </w:r>
      <w:r w:rsidR="00310ACA" w:rsidRPr="005207A9">
        <w:rPr>
          <w:rFonts w:ascii="Arial" w:hAnsi="Arial" w:cs="Arial"/>
          <w:sz w:val="20"/>
          <w:szCs w:val="20"/>
        </w:rPr>
        <w:t>table</w:t>
      </w:r>
      <w:r w:rsidRPr="005207A9">
        <w:rPr>
          <w:rFonts w:ascii="Arial" w:hAnsi="Arial" w:cs="Arial"/>
          <w:sz w:val="20"/>
          <w:szCs w:val="20"/>
        </w:rPr>
        <w:t xml:space="preserve"> provides some observations that the </w:t>
      </w:r>
      <w:r w:rsidR="00874AAB" w:rsidRPr="005207A9">
        <w:rPr>
          <w:rFonts w:ascii="Arial" w:hAnsi="Arial" w:cs="Arial"/>
          <w:sz w:val="20"/>
          <w:szCs w:val="20"/>
        </w:rPr>
        <w:t>consultant</w:t>
      </w:r>
      <w:r w:rsidRPr="005207A9">
        <w:rPr>
          <w:rFonts w:ascii="Arial" w:hAnsi="Arial" w:cs="Arial"/>
          <w:sz w:val="20"/>
          <w:szCs w:val="20"/>
        </w:rPr>
        <w:t xml:space="preserve"> coder </w:t>
      </w:r>
      <w:r w:rsidRPr="00733CEF">
        <w:rPr>
          <w:rFonts w:ascii="Arial" w:hAnsi="Arial" w:cs="Arial"/>
          <w:sz w:val="20"/>
          <w:szCs w:val="20"/>
        </w:rPr>
        <w:t xml:space="preserve">documented through </w:t>
      </w:r>
      <w:r w:rsidR="00874AAB" w:rsidRPr="00733CEF">
        <w:rPr>
          <w:rFonts w:ascii="Arial" w:hAnsi="Arial" w:cs="Arial"/>
          <w:sz w:val="20"/>
          <w:szCs w:val="20"/>
        </w:rPr>
        <w:t>undertaking th</w:t>
      </w:r>
      <w:r w:rsidRPr="00733CEF">
        <w:rPr>
          <w:rFonts w:ascii="Arial" w:hAnsi="Arial" w:cs="Arial"/>
          <w:sz w:val="20"/>
          <w:szCs w:val="20"/>
        </w:rPr>
        <w:t>is exercise regarding the</w:t>
      </w:r>
      <w:r w:rsidR="00874AAB" w:rsidRPr="00733CEF">
        <w:rPr>
          <w:rFonts w:ascii="Arial" w:hAnsi="Arial" w:cs="Arial"/>
          <w:sz w:val="20"/>
          <w:szCs w:val="20"/>
        </w:rPr>
        <w:t xml:space="preserve"> process, </w:t>
      </w:r>
      <w:r w:rsidRPr="00733CEF">
        <w:rPr>
          <w:rFonts w:ascii="Arial" w:hAnsi="Arial" w:cs="Arial"/>
          <w:sz w:val="20"/>
          <w:szCs w:val="20"/>
        </w:rPr>
        <w:t xml:space="preserve">information management, </w:t>
      </w:r>
      <w:r w:rsidR="00874AAB" w:rsidRPr="00733CEF">
        <w:rPr>
          <w:rFonts w:ascii="Arial" w:hAnsi="Arial" w:cs="Arial"/>
          <w:sz w:val="20"/>
          <w:szCs w:val="20"/>
        </w:rPr>
        <w:t xml:space="preserve">data </w:t>
      </w:r>
      <w:r w:rsidRPr="00733CEF">
        <w:rPr>
          <w:rFonts w:ascii="Arial" w:hAnsi="Arial" w:cs="Arial"/>
          <w:sz w:val="20"/>
          <w:szCs w:val="20"/>
        </w:rPr>
        <w:t xml:space="preserve">access and </w:t>
      </w:r>
      <w:r w:rsidR="00874AAB" w:rsidRPr="00733CEF">
        <w:rPr>
          <w:rFonts w:ascii="Arial" w:hAnsi="Arial" w:cs="Arial"/>
          <w:sz w:val="20"/>
          <w:szCs w:val="20"/>
        </w:rPr>
        <w:t>quality</w:t>
      </w:r>
      <w:r w:rsidRPr="00733CEF">
        <w:rPr>
          <w:rFonts w:ascii="Arial" w:hAnsi="Arial" w:cs="Arial"/>
          <w:sz w:val="20"/>
          <w:szCs w:val="20"/>
        </w:rPr>
        <w:t xml:space="preserve">. Where relevant or possible, there are recommendations included that could be considered </w:t>
      </w:r>
      <w:r w:rsidR="000616BB" w:rsidRPr="00733CEF">
        <w:rPr>
          <w:rFonts w:ascii="Arial" w:hAnsi="Arial" w:cs="Arial"/>
          <w:sz w:val="20"/>
          <w:szCs w:val="20"/>
        </w:rPr>
        <w:t xml:space="preserve">for </w:t>
      </w:r>
      <w:r w:rsidRPr="00733CEF">
        <w:rPr>
          <w:rFonts w:ascii="Arial" w:hAnsi="Arial" w:cs="Arial"/>
          <w:sz w:val="20"/>
          <w:szCs w:val="20"/>
        </w:rPr>
        <w:t>the GPSA in general related to relevant data/evidence for projects/the GPSA and future Results Framework MERL exercises.</w:t>
      </w:r>
      <w:r w:rsidR="000616BB" w:rsidRPr="00733CEF">
        <w:rPr>
          <w:rFonts w:ascii="Arial" w:hAnsi="Arial" w:cs="Arial"/>
          <w:sz w:val="20"/>
          <w:szCs w:val="20"/>
        </w:rPr>
        <w:t xml:space="preserve"> </w:t>
      </w:r>
    </w:p>
    <w:p w14:paraId="577B868F" w14:textId="7524541E" w:rsidR="00874AAB" w:rsidRPr="003157E4" w:rsidRDefault="00874AAB" w:rsidP="00874AAB">
      <w:pPr>
        <w:spacing w:after="0"/>
        <w:rPr>
          <w:rFonts w:ascii="Arial" w:hAnsi="Arial" w:cs="Arial"/>
          <w:sz w:val="20"/>
          <w:szCs w:val="20"/>
        </w:rPr>
      </w:pPr>
    </w:p>
    <w:p w14:paraId="180226E9" w14:textId="50C1CC69" w:rsidR="00C1597B" w:rsidRDefault="00C1597B" w:rsidP="005207A9">
      <w:pPr>
        <w:pStyle w:val="Caption"/>
        <w:keepNext/>
      </w:pPr>
      <w:r>
        <w:t xml:space="preserve">Table </w:t>
      </w:r>
      <w:fldSimple w:instr=" SEQ Table \* ARABIC ">
        <w:r>
          <w:rPr>
            <w:noProof/>
          </w:rPr>
          <w:t>6</w:t>
        </w:r>
      </w:fldSimple>
      <w:r>
        <w:t>: Key observations and recommendations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4417"/>
        <w:gridCol w:w="3402"/>
      </w:tblGrid>
      <w:tr w:rsidR="00696021" w:rsidRPr="0054538E" w14:paraId="0D358C4C" w14:textId="6F8750BA" w:rsidTr="005207A9">
        <w:trPr>
          <w:trHeight w:val="365"/>
        </w:trPr>
        <w:tc>
          <w:tcPr>
            <w:tcW w:w="10060" w:type="dxa"/>
            <w:gridSpan w:val="3"/>
            <w:shd w:val="clear" w:color="auto" w:fill="auto"/>
            <w:vAlign w:val="bottom"/>
            <w:hideMark/>
          </w:tcPr>
          <w:p w14:paraId="3530DA0B" w14:textId="07EC9BFB" w:rsidR="00696021" w:rsidRDefault="00696021" w:rsidP="0054538E">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O</w:t>
            </w:r>
            <w:r w:rsidRPr="0054538E">
              <w:rPr>
                <w:rFonts w:ascii="Arial" w:eastAsia="Times New Roman" w:hAnsi="Arial" w:cs="Arial"/>
                <w:color w:val="000000"/>
                <w:sz w:val="20"/>
                <w:szCs w:val="20"/>
                <w:lang w:eastAsia="en-CA"/>
              </w:rPr>
              <w:t>bservations</w:t>
            </w:r>
            <w:r>
              <w:rPr>
                <w:rFonts w:ascii="Arial" w:eastAsia="Times New Roman" w:hAnsi="Arial" w:cs="Arial"/>
                <w:color w:val="000000"/>
                <w:sz w:val="20"/>
                <w:szCs w:val="20"/>
                <w:lang w:eastAsia="en-CA"/>
              </w:rPr>
              <w:t xml:space="preserve"> and </w:t>
            </w:r>
            <w:r w:rsidR="00310ACA">
              <w:rPr>
                <w:rFonts w:ascii="Arial" w:eastAsia="Times New Roman" w:hAnsi="Arial" w:cs="Arial"/>
                <w:color w:val="000000"/>
                <w:sz w:val="20"/>
                <w:szCs w:val="20"/>
                <w:lang w:eastAsia="en-CA"/>
              </w:rPr>
              <w:t>recommendations</w:t>
            </w:r>
            <w:r w:rsidRPr="0054538E">
              <w:rPr>
                <w:rFonts w:ascii="Arial" w:eastAsia="Times New Roman" w:hAnsi="Arial" w:cs="Arial"/>
                <w:color w:val="000000"/>
                <w:sz w:val="20"/>
                <w:szCs w:val="20"/>
                <w:lang w:eastAsia="en-CA"/>
              </w:rPr>
              <w:t xml:space="preserve"> based </w:t>
            </w:r>
            <w:r w:rsidR="00733CEF">
              <w:rPr>
                <w:rFonts w:ascii="Arial" w:eastAsia="Times New Roman" w:hAnsi="Arial" w:cs="Arial"/>
                <w:color w:val="000000"/>
                <w:sz w:val="20"/>
                <w:szCs w:val="20"/>
                <w:lang w:eastAsia="en-CA"/>
              </w:rPr>
              <w:t>on this r</w:t>
            </w:r>
            <w:r>
              <w:rPr>
                <w:rFonts w:ascii="Arial" w:eastAsia="Times New Roman" w:hAnsi="Arial" w:cs="Arial"/>
                <w:color w:val="000000"/>
                <w:sz w:val="20"/>
                <w:szCs w:val="20"/>
                <w:lang w:eastAsia="en-CA"/>
              </w:rPr>
              <w:t xml:space="preserve">etroactive coding exercise </w:t>
            </w:r>
          </w:p>
        </w:tc>
      </w:tr>
      <w:tr w:rsidR="005207A9" w:rsidRPr="0054538E" w14:paraId="51EDC599" w14:textId="7F2D309B" w:rsidTr="005207A9">
        <w:trPr>
          <w:trHeight w:val="365"/>
        </w:trPr>
        <w:tc>
          <w:tcPr>
            <w:tcW w:w="2241" w:type="dxa"/>
            <w:shd w:val="clear" w:color="auto" w:fill="auto"/>
            <w:vAlign w:val="bottom"/>
          </w:tcPr>
          <w:p w14:paraId="0598CC99" w14:textId="4F036528" w:rsidR="0021382A" w:rsidRDefault="0021382A" w:rsidP="0054538E">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MERL area</w:t>
            </w:r>
          </w:p>
        </w:tc>
        <w:tc>
          <w:tcPr>
            <w:tcW w:w="4417" w:type="dxa"/>
            <w:shd w:val="clear" w:color="auto" w:fill="auto"/>
            <w:vAlign w:val="bottom"/>
          </w:tcPr>
          <w:p w14:paraId="2621E3BC" w14:textId="66940947" w:rsidR="0021382A" w:rsidRDefault="0021382A" w:rsidP="0054538E">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Observation</w:t>
            </w:r>
          </w:p>
        </w:tc>
        <w:tc>
          <w:tcPr>
            <w:tcW w:w="3402" w:type="dxa"/>
            <w:shd w:val="clear" w:color="auto" w:fill="auto"/>
            <w:vAlign w:val="bottom"/>
          </w:tcPr>
          <w:p w14:paraId="03AEA246" w14:textId="180A75E9" w:rsidR="0021382A" w:rsidRDefault="0021382A" w:rsidP="0054538E">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Recommendation</w:t>
            </w:r>
          </w:p>
        </w:tc>
      </w:tr>
      <w:tr w:rsidR="00C14DEC" w:rsidRPr="0054538E" w14:paraId="1FA0BFC3" w14:textId="77777777" w:rsidTr="005207A9">
        <w:trPr>
          <w:trHeight w:val="1166"/>
        </w:trPr>
        <w:tc>
          <w:tcPr>
            <w:tcW w:w="2241" w:type="dxa"/>
            <w:shd w:val="clear" w:color="auto" w:fill="auto"/>
            <w:noWrap/>
            <w:vAlign w:val="bottom"/>
          </w:tcPr>
          <w:p w14:paraId="1EF8566F" w14:textId="31CA1604" w:rsidR="00C534DE" w:rsidRPr="0054538E" w:rsidRDefault="00C534DE" w:rsidP="0054538E">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Access to evidence for coding exercise</w:t>
            </w:r>
          </w:p>
        </w:tc>
        <w:tc>
          <w:tcPr>
            <w:tcW w:w="4417" w:type="dxa"/>
            <w:shd w:val="clear" w:color="auto" w:fill="auto"/>
            <w:vAlign w:val="bottom"/>
          </w:tcPr>
          <w:p w14:paraId="05F250B6" w14:textId="77777777" w:rsidR="0021382A" w:rsidRDefault="0021382A" w:rsidP="0054538E">
            <w:pPr>
              <w:spacing w:after="0" w:line="240" w:lineRule="auto"/>
              <w:rPr>
                <w:rFonts w:ascii="Arial" w:eastAsia="Times New Roman" w:hAnsi="Arial" w:cs="Arial"/>
                <w:color w:val="000000"/>
                <w:sz w:val="20"/>
                <w:szCs w:val="20"/>
                <w:lang w:eastAsia="en-CA"/>
              </w:rPr>
            </w:pPr>
          </w:p>
          <w:p w14:paraId="38189ED1" w14:textId="7D0A0F1A" w:rsidR="00C534DE" w:rsidRDefault="00C534DE" w:rsidP="0054538E">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The process for the consultant to receive clear and accurate information on the number/overview of all the GPSA projects, the project documentation available and the copies of the documentation took a few months. </w:t>
            </w:r>
            <w:r w:rsidR="00190872">
              <w:rPr>
                <w:rFonts w:ascii="Arial" w:eastAsia="Times New Roman" w:hAnsi="Arial" w:cs="Arial"/>
                <w:color w:val="000000"/>
                <w:sz w:val="20"/>
                <w:szCs w:val="20"/>
                <w:lang w:eastAsia="en-CA"/>
              </w:rPr>
              <w:t xml:space="preserve">Several files are duplicate copies or drafts, with some documents incomplete or of poor quality. </w:t>
            </w:r>
            <w:r>
              <w:rPr>
                <w:rFonts w:ascii="Arial" w:eastAsia="Times New Roman" w:hAnsi="Arial" w:cs="Arial"/>
                <w:color w:val="000000"/>
                <w:sz w:val="20"/>
                <w:szCs w:val="20"/>
                <w:lang w:eastAsia="en-CA"/>
              </w:rPr>
              <w:t xml:space="preserve">This reflects that the information management and storage of key GPSA project documents </w:t>
            </w:r>
            <w:r w:rsidR="00190872">
              <w:rPr>
                <w:rFonts w:ascii="Arial" w:eastAsia="Times New Roman" w:hAnsi="Arial" w:cs="Arial"/>
                <w:color w:val="000000"/>
                <w:sz w:val="20"/>
                <w:szCs w:val="20"/>
                <w:lang w:eastAsia="en-CA"/>
              </w:rPr>
              <w:t xml:space="preserve">and oversight of data quality </w:t>
            </w:r>
            <w:r>
              <w:rPr>
                <w:rFonts w:ascii="Arial" w:eastAsia="Times New Roman" w:hAnsi="Arial" w:cs="Arial"/>
                <w:color w:val="000000"/>
                <w:sz w:val="20"/>
                <w:szCs w:val="20"/>
                <w:lang w:eastAsia="en-CA"/>
              </w:rPr>
              <w:t>is perhaps weaker and more arduous that it could and should b</w:t>
            </w:r>
            <w:r w:rsidR="00190872">
              <w:rPr>
                <w:rFonts w:ascii="Arial" w:eastAsia="Times New Roman" w:hAnsi="Arial" w:cs="Arial"/>
                <w:color w:val="000000"/>
                <w:sz w:val="20"/>
                <w:szCs w:val="20"/>
                <w:lang w:eastAsia="en-CA"/>
              </w:rPr>
              <w:t>e.</w:t>
            </w:r>
          </w:p>
        </w:tc>
        <w:tc>
          <w:tcPr>
            <w:tcW w:w="3402" w:type="dxa"/>
          </w:tcPr>
          <w:p w14:paraId="25EE7844" w14:textId="77777777" w:rsidR="0021382A" w:rsidRDefault="0021382A" w:rsidP="0054538E">
            <w:pPr>
              <w:spacing w:after="0" w:line="240" w:lineRule="auto"/>
              <w:rPr>
                <w:rFonts w:ascii="Arial" w:eastAsia="Times New Roman" w:hAnsi="Arial" w:cs="Arial"/>
                <w:color w:val="000000"/>
                <w:sz w:val="20"/>
                <w:szCs w:val="20"/>
                <w:lang w:eastAsia="en-CA"/>
              </w:rPr>
            </w:pPr>
          </w:p>
          <w:p w14:paraId="313FB685" w14:textId="09769994" w:rsidR="0021382A" w:rsidRDefault="00190872" w:rsidP="0054538E">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Information management and data </w:t>
            </w:r>
          </w:p>
          <w:p w14:paraId="23917E23" w14:textId="09021DD9" w:rsidR="00C534DE" w:rsidRDefault="00190872" w:rsidP="0054538E">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quality assurance should be </w:t>
            </w:r>
            <w:r w:rsidR="00772B25">
              <w:rPr>
                <w:rFonts w:ascii="Arial" w:eastAsia="Times New Roman" w:hAnsi="Arial" w:cs="Arial"/>
                <w:color w:val="000000"/>
                <w:sz w:val="20"/>
                <w:szCs w:val="20"/>
                <w:lang w:eastAsia="en-CA"/>
              </w:rPr>
              <w:t>strengthened</w:t>
            </w:r>
            <w:r>
              <w:rPr>
                <w:rFonts w:ascii="Arial" w:eastAsia="Times New Roman" w:hAnsi="Arial" w:cs="Arial"/>
                <w:color w:val="000000"/>
                <w:sz w:val="20"/>
                <w:szCs w:val="20"/>
                <w:lang w:eastAsia="en-CA"/>
              </w:rPr>
              <w:t xml:space="preserve"> for GPSA projects, especially if the coding and aggregation of GPSA performance against its Results </w:t>
            </w:r>
            <w:r w:rsidR="00310ACA">
              <w:rPr>
                <w:rFonts w:ascii="Arial" w:eastAsia="Times New Roman" w:hAnsi="Arial" w:cs="Arial"/>
                <w:color w:val="000000"/>
                <w:sz w:val="20"/>
                <w:szCs w:val="20"/>
                <w:lang w:eastAsia="en-CA"/>
              </w:rPr>
              <w:t>Framework</w:t>
            </w:r>
            <w:r>
              <w:rPr>
                <w:rFonts w:ascii="Arial" w:eastAsia="Times New Roman" w:hAnsi="Arial" w:cs="Arial"/>
                <w:color w:val="000000"/>
                <w:sz w:val="20"/>
                <w:szCs w:val="20"/>
                <w:lang w:eastAsia="en-CA"/>
              </w:rPr>
              <w:t xml:space="preserve"> is to take place on a regular basis </w:t>
            </w:r>
            <w:proofErr w:type="gramStart"/>
            <w:r>
              <w:rPr>
                <w:rFonts w:ascii="Arial" w:eastAsia="Times New Roman" w:hAnsi="Arial" w:cs="Arial"/>
                <w:color w:val="000000"/>
                <w:sz w:val="20"/>
                <w:szCs w:val="20"/>
                <w:lang w:eastAsia="en-CA"/>
              </w:rPr>
              <w:t>in order to</w:t>
            </w:r>
            <w:proofErr w:type="gramEnd"/>
            <w:r>
              <w:rPr>
                <w:rFonts w:ascii="Arial" w:eastAsia="Times New Roman" w:hAnsi="Arial" w:cs="Arial"/>
                <w:color w:val="000000"/>
                <w:sz w:val="20"/>
                <w:szCs w:val="20"/>
                <w:lang w:eastAsia="en-CA"/>
              </w:rPr>
              <w:t xml:space="preserve"> improve the efficiency of these exercises.</w:t>
            </w:r>
          </w:p>
        </w:tc>
      </w:tr>
      <w:tr w:rsidR="00C14DEC" w:rsidRPr="0054538E" w14:paraId="4EDAD95F" w14:textId="2E29B62F" w:rsidTr="005207A9">
        <w:trPr>
          <w:trHeight w:val="1166"/>
        </w:trPr>
        <w:tc>
          <w:tcPr>
            <w:tcW w:w="2241" w:type="dxa"/>
            <w:shd w:val="clear" w:color="auto" w:fill="auto"/>
            <w:noWrap/>
            <w:vAlign w:val="bottom"/>
            <w:hideMark/>
          </w:tcPr>
          <w:p w14:paraId="46D5BDB4" w14:textId="77777777" w:rsidR="00696021" w:rsidRPr="0054538E" w:rsidRDefault="00696021" w:rsidP="0054538E">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Baselines</w:t>
            </w:r>
          </w:p>
        </w:tc>
        <w:tc>
          <w:tcPr>
            <w:tcW w:w="4417" w:type="dxa"/>
            <w:shd w:val="clear" w:color="auto" w:fill="auto"/>
            <w:vAlign w:val="bottom"/>
            <w:hideMark/>
          </w:tcPr>
          <w:p w14:paraId="6BD24252" w14:textId="77777777" w:rsidR="005C16F6" w:rsidRDefault="005C16F6" w:rsidP="0054538E">
            <w:pPr>
              <w:spacing w:after="0" w:line="240" w:lineRule="auto"/>
              <w:rPr>
                <w:rFonts w:ascii="Arial" w:eastAsia="Times New Roman" w:hAnsi="Arial" w:cs="Arial"/>
                <w:color w:val="000000"/>
                <w:sz w:val="20"/>
                <w:szCs w:val="20"/>
                <w:lang w:eastAsia="en-CA"/>
              </w:rPr>
            </w:pPr>
          </w:p>
          <w:p w14:paraId="10DB79C3" w14:textId="09B32CAF" w:rsidR="00696021" w:rsidRPr="0054538E" w:rsidRDefault="00696021" w:rsidP="0054538E">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 xml:space="preserve">Many baselines focus on the external (such as a survey of water users) but not information that is useful and relevant to </w:t>
            </w:r>
            <w:r w:rsidR="005664B5">
              <w:rPr>
                <w:rFonts w:ascii="Arial" w:eastAsia="Times New Roman" w:hAnsi="Arial" w:cs="Arial"/>
                <w:color w:val="000000"/>
                <w:sz w:val="20"/>
                <w:szCs w:val="20"/>
                <w:lang w:eastAsia="en-CA"/>
              </w:rPr>
              <w:t xml:space="preserve">assessing and </w:t>
            </w:r>
            <w:r w:rsidR="00310ACA">
              <w:rPr>
                <w:rFonts w:ascii="Arial" w:eastAsia="Times New Roman" w:hAnsi="Arial" w:cs="Arial"/>
                <w:color w:val="000000"/>
                <w:sz w:val="20"/>
                <w:szCs w:val="20"/>
                <w:lang w:eastAsia="en-CA"/>
              </w:rPr>
              <w:t>analysis</w:t>
            </w:r>
            <w:r w:rsidR="005664B5">
              <w:rPr>
                <w:rFonts w:ascii="Arial" w:eastAsia="Times New Roman" w:hAnsi="Arial" w:cs="Arial"/>
                <w:color w:val="000000"/>
                <w:sz w:val="20"/>
                <w:szCs w:val="20"/>
                <w:lang w:eastAsia="en-CA"/>
              </w:rPr>
              <w:t xml:space="preserve"> for </w:t>
            </w:r>
            <w:r>
              <w:rPr>
                <w:rFonts w:ascii="Arial" w:eastAsia="Times New Roman" w:hAnsi="Arial" w:cs="Arial"/>
                <w:color w:val="000000"/>
                <w:sz w:val="20"/>
                <w:szCs w:val="20"/>
                <w:lang w:eastAsia="en-CA"/>
              </w:rPr>
              <w:t>the operational Results Framework</w:t>
            </w:r>
            <w:r w:rsidRPr="0054538E">
              <w:rPr>
                <w:rFonts w:ascii="Arial" w:eastAsia="Times New Roman" w:hAnsi="Arial" w:cs="Arial"/>
                <w:color w:val="000000"/>
                <w:sz w:val="20"/>
                <w:szCs w:val="20"/>
                <w:lang w:eastAsia="en-CA"/>
              </w:rPr>
              <w:t xml:space="preserve"> indicators</w:t>
            </w:r>
            <w:r>
              <w:rPr>
                <w:rFonts w:ascii="Arial" w:eastAsia="Times New Roman" w:hAnsi="Arial" w:cs="Arial"/>
                <w:color w:val="000000"/>
                <w:sz w:val="20"/>
                <w:szCs w:val="20"/>
                <w:lang w:eastAsia="en-CA"/>
              </w:rPr>
              <w:t xml:space="preserve">. For </w:t>
            </w:r>
            <w:r w:rsidR="00772B25">
              <w:rPr>
                <w:rFonts w:ascii="Arial" w:eastAsia="Times New Roman" w:hAnsi="Arial" w:cs="Arial"/>
                <w:color w:val="000000"/>
                <w:sz w:val="20"/>
                <w:szCs w:val="20"/>
                <w:lang w:eastAsia="en-CA"/>
              </w:rPr>
              <w:t>instance,</w:t>
            </w:r>
            <w:r>
              <w:rPr>
                <w:rFonts w:ascii="Arial" w:eastAsia="Times New Roman" w:hAnsi="Arial" w:cs="Arial"/>
                <w:color w:val="000000"/>
                <w:sz w:val="20"/>
                <w:szCs w:val="20"/>
                <w:lang w:eastAsia="en-CA"/>
              </w:rPr>
              <w:t xml:space="preserve"> </w:t>
            </w:r>
            <w:r w:rsidR="005664B5">
              <w:rPr>
                <w:rFonts w:ascii="Arial" w:eastAsia="Times New Roman" w:hAnsi="Arial" w:cs="Arial"/>
                <w:color w:val="000000"/>
                <w:sz w:val="20"/>
                <w:szCs w:val="20"/>
                <w:lang w:eastAsia="en-CA"/>
              </w:rPr>
              <w:t xml:space="preserve">there is a lack of </w:t>
            </w:r>
            <w:r>
              <w:rPr>
                <w:rFonts w:ascii="Arial" w:eastAsia="Times New Roman" w:hAnsi="Arial" w:cs="Arial"/>
                <w:color w:val="000000"/>
                <w:sz w:val="20"/>
                <w:szCs w:val="20"/>
                <w:lang w:eastAsia="en-CA"/>
              </w:rPr>
              <w:t xml:space="preserve">analysis and data on </w:t>
            </w:r>
            <w:r w:rsidRPr="0054538E">
              <w:rPr>
                <w:rFonts w:ascii="Arial" w:eastAsia="Times New Roman" w:hAnsi="Arial" w:cs="Arial"/>
                <w:color w:val="000000"/>
                <w:sz w:val="20"/>
                <w:szCs w:val="20"/>
                <w:lang w:eastAsia="en-CA"/>
              </w:rPr>
              <w:t>capacity (outcome 1)</w:t>
            </w:r>
            <w:r>
              <w:rPr>
                <w:rFonts w:ascii="Arial" w:eastAsia="Times New Roman" w:hAnsi="Arial" w:cs="Arial"/>
                <w:color w:val="000000"/>
                <w:sz w:val="20"/>
                <w:szCs w:val="20"/>
                <w:lang w:eastAsia="en-CA"/>
              </w:rPr>
              <w:t xml:space="preserve"> (although not using the MERL Guide and GPSA capacities nor formal assessments and ranking)</w:t>
            </w:r>
            <w:r w:rsidRPr="0054538E">
              <w:rPr>
                <w:rFonts w:ascii="Arial" w:eastAsia="Times New Roman" w:hAnsi="Arial" w:cs="Arial"/>
                <w:color w:val="000000"/>
                <w:sz w:val="20"/>
                <w:szCs w:val="20"/>
                <w:lang w:eastAsia="en-CA"/>
              </w:rPr>
              <w:t>; existence/experience with C</w:t>
            </w:r>
            <w:r>
              <w:rPr>
                <w:rFonts w:ascii="Arial" w:eastAsia="Times New Roman" w:hAnsi="Arial" w:cs="Arial"/>
                <w:color w:val="000000"/>
                <w:sz w:val="20"/>
                <w:szCs w:val="20"/>
                <w:lang w:eastAsia="en-CA"/>
              </w:rPr>
              <w:t>ollaborative Social Accountability</w:t>
            </w:r>
            <w:r w:rsidRPr="0054538E">
              <w:rPr>
                <w:rFonts w:ascii="Arial" w:eastAsia="Times New Roman" w:hAnsi="Arial" w:cs="Arial"/>
                <w:color w:val="000000"/>
                <w:sz w:val="20"/>
                <w:szCs w:val="20"/>
                <w:lang w:eastAsia="en-CA"/>
              </w:rPr>
              <w:t xml:space="preserve"> (outcome 2; the proximate causes of service delivery failure (outcome 3); </w:t>
            </w:r>
            <w:r w:rsidR="005664B5">
              <w:rPr>
                <w:rFonts w:ascii="Arial" w:eastAsia="Times New Roman" w:hAnsi="Arial" w:cs="Arial"/>
                <w:color w:val="000000"/>
                <w:sz w:val="20"/>
                <w:szCs w:val="20"/>
                <w:lang w:eastAsia="en-CA"/>
              </w:rPr>
              <w:t xml:space="preserve">or identifying </w:t>
            </w:r>
            <w:r w:rsidRPr="0054538E">
              <w:rPr>
                <w:rFonts w:ascii="Arial" w:eastAsia="Times New Roman" w:hAnsi="Arial" w:cs="Arial"/>
                <w:color w:val="000000"/>
                <w:sz w:val="20"/>
                <w:szCs w:val="20"/>
                <w:lang w:eastAsia="en-CA"/>
              </w:rPr>
              <w:t>potential actors &amp; entry points for uptake (outcome 4) and info that is highly relevant for adaptive learning/ course correction already</w:t>
            </w:r>
            <w:r w:rsidR="005664B5">
              <w:rPr>
                <w:rFonts w:ascii="Arial" w:eastAsia="Times New Roman" w:hAnsi="Arial" w:cs="Arial"/>
                <w:color w:val="000000"/>
                <w:sz w:val="20"/>
                <w:szCs w:val="20"/>
                <w:lang w:eastAsia="en-CA"/>
              </w:rPr>
              <w:t xml:space="preserve">. </w:t>
            </w:r>
          </w:p>
        </w:tc>
        <w:tc>
          <w:tcPr>
            <w:tcW w:w="3402" w:type="dxa"/>
          </w:tcPr>
          <w:p w14:paraId="73C5BBE7" w14:textId="77777777" w:rsidR="0021382A" w:rsidRDefault="0021382A" w:rsidP="0054538E">
            <w:pPr>
              <w:spacing w:after="0" w:line="240" w:lineRule="auto"/>
              <w:rPr>
                <w:rFonts w:ascii="Arial" w:eastAsia="Times New Roman" w:hAnsi="Arial" w:cs="Arial"/>
                <w:color w:val="000000"/>
                <w:sz w:val="20"/>
                <w:szCs w:val="20"/>
                <w:lang w:eastAsia="en-CA"/>
              </w:rPr>
            </w:pPr>
          </w:p>
          <w:p w14:paraId="113EE8EB" w14:textId="1C1BDBA3" w:rsidR="00696021" w:rsidRPr="0054538E" w:rsidRDefault="005664B5" w:rsidP="0054538E">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Ensuring that baseline reports include data collection and analysis for all the required operational indicators in future GPSA project baselines would support a more comprehensive evidence base for MERL of the Results Framework and increase the feasibility for comparing the context and values from the project start through to the end.</w:t>
            </w:r>
          </w:p>
        </w:tc>
      </w:tr>
      <w:tr w:rsidR="005207A9" w:rsidRPr="0054538E" w14:paraId="3D83E6FD" w14:textId="77777777" w:rsidTr="005207A9">
        <w:trPr>
          <w:trHeight w:val="583"/>
        </w:trPr>
        <w:tc>
          <w:tcPr>
            <w:tcW w:w="2241" w:type="dxa"/>
            <w:shd w:val="clear" w:color="auto" w:fill="auto"/>
            <w:noWrap/>
            <w:vAlign w:val="bottom"/>
          </w:tcPr>
          <w:p w14:paraId="2A984404" w14:textId="77777777"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Mid-term reviews/</w:t>
            </w:r>
          </w:p>
          <w:p w14:paraId="6472D98B" w14:textId="2E761DC7"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evaluations</w:t>
            </w:r>
          </w:p>
        </w:tc>
        <w:tc>
          <w:tcPr>
            <w:tcW w:w="4417" w:type="dxa"/>
            <w:shd w:val="clear" w:color="auto" w:fill="auto"/>
            <w:vAlign w:val="bottom"/>
          </w:tcPr>
          <w:p w14:paraId="25109C4A" w14:textId="04612A59"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Many of the projects lacked mid-term reviews or evaluations in the documentary evidence base reviewed which means was difficult to triangulate progress and performance of the Results Framework indicators for the project sample with an independent source. </w:t>
            </w:r>
          </w:p>
        </w:tc>
        <w:tc>
          <w:tcPr>
            <w:tcW w:w="3402" w:type="dxa"/>
          </w:tcPr>
          <w:p w14:paraId="1EA23DA6" w14:textId="77777777" w:rsidR="0021382A" w:rsidRDefault="0021382A" w:rsidP="0021382A">
            <w:pPr>
              <w:spacing w:after="0" w:line="240" w:lineRule="auto"/>
              <w:rPr>
                <w:rFonts w:ascii="Arial" w:eastAsia="Times New Roman" w:hAnsi="Arial" w:cs="Arial"/>
                <w:color w:val="000000"/>
                <w:sz w:val="20"/>
                <w:szCs w:val="20"/>
                <w:lang w:eastAsia="en-CA"/>
              </w:rPr>
            </w:pPr>
          </w:p>
          <w:p w14:paraId="094880DA" w14:textId="5123CE50"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Where possible, and in line with the MERL Guide, mid-term reviews/evaluations are recommended. These can be lighter touch than final evaluations but should include the assessment of the operational Results Framework indicators.</w:t>
            </w:r>
          </w:p>
        </w:tc>
      </w:tr>
      <w:tr w:rsidR="00C14DEC" w:rsidRPr="0054538E" w14:paraId="2411DCAE" w14:textId="77777777" w:rsidTr="005207A9">
        <w:trPr>
          <w:trHeight w:val="583"/>
        </w:trPr>
        <w:tc>
          <w:tcPr>
            <w:tcW w:w="2241" w:type="dxa"/>
            <w:shd w:val="clear" w:color="auto" w:fill="auto"/>
            <w:noWrap/>
            <w:vAlign w:val="bottom"/>
          </w:tcPr>
          <w:p w14:paraId="4FA545C6" w14:textId="0E858E1F"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lastRenderedPageBreak/>
              <w:t>Final Evaluations</w:t>
            </w:r>
          </w:p>
        </w:tc>
        <w:tc>
          <w:tcPr>
            <w:tcW w:w="4417" w:type="dxa"/>
            <w:shd w:val="clear" w:color="auto" w:fill="auto"/>
            <w:vAlign w:val="bottom"/>
          </w:tcPr>
          <w:p w14:paraId="12729D97" w14:textId="1AC06554" w:rsidR="0021382A" w:rsidRPr="0054538E" w:rsidRDefault="0021382A" w:rsidP="0021382A">
            <w:pPr>
              <w:spacing w:after="0" w:line="240" w:lineRule="auto"/>
              <w:rPr>
                <w:rFonts w:ascii="Arial" w:eastAsia="Times New Roman" w:hAnsi="Arial" w:cs="Arial"/>
                <w:color w:val="000000"/>
                <w:sz w:val="20"/>
                <w:szCs w:val="20"/>
                <w:lang w:eastAsia="en-CA"/>
              </w:rPr>
            </w:pPr>
            <w:proofErr w:type="gramStart"/>
            <w:r w:rsidRPr="0054538E">
              <w:rPr>
                <w:rFonts w:ascii="Arial" w:eastAsia="Times New Roman" w:hAnsi="Arial" w:cs="Arial"/>
                <w:color w:val="000000"/>
                <w:sz w:val="20"/>
                <w:szCs w:val="20"/>
                <w:lang w:eastAsia="en-CA"/>
              </w:rPr>
              <w:t>Similar to</w:t>
            </w:r>
            <w:proofErr w:type="gramEnd"/>
            <w:r w:rsidRPr="0054538E">
              <w:rPr>
                <w:rFonts w:ascii="Arial" w:eastAsia="Times New Roman" w:hAnsi="Arial" w:cs="Arial"/>
                <w:color w:val="000000"/>
                <w:sz w:val="20"/>
                <w:szCs w:val="20"/>
                <w:lang w:eastAsia="en-CA"/>
              </w:rPr>
              <w:t xml:space="preserve"> baselines, </w:t>
            </w:r>
            <w:r>
              <w:rPr>
                <w:rFonts w:ascii="Arial" w:eastAsia="Times New Roman" w:hAnsi="Arial" w:cs="Arial"/>
                <w:color w:val="000000"/>
                <w:sz w:val="20"/>
                <w:szCs w:val="20"/>
                <w:lang w:eastAsia="en-CA"/>
              </w:rPr>
              <w:t xml:space="preserve">many evaluations reviewed did not explicitly reference or provide analysis/findings on the GPSA Theory of Action and required operational Results Framework indicators. While this is partly due to the operational indicators not being in all projects reviewed, the evaluations did not even refer to those Results Framework indicators that were included </w:t>
            </w:r>
            <w:proofErr w:type="gramStart"/>
            <w:r>
              <w:rPr>
                <w:rFonts w:ascii="Arial" w:eastAsia="Times New Roman" w:hAnsi="Arial" w:cs="Arial"/>
                <w:color w:val="000000"/>
                <w:sz w:val="20"/>
                <w:szCs w:val="20"/>
                <w:lang w:eastAsia="en-CA"/>
              </w:rPr>
              <w:t>in a given</w:t>
            </w:r>
            <w:proofErr w:type="gramEnd"/>
            <w:r>
              <w:rPr>
                <w:rFonts w:ascii="Arial" w:eastAsia="Times New Roman" w:hAnsi="Arial" w:cs="Arial"/>
                <w:color w:val="000000"/>
                <w:sz w:val="20"/>
                <w:szCs w:val="20"/>
                <w:lang w:eastAsia="en-CA"/>
              </w:rPr>
              <w:t xml:space="preserve"> project. This meant that the coding relied more on the values from the ICR reports which were not substantiated and well-explained. There are exceptions and the coding was still able to glean useful information from the evaluations to support the coding, however it seems relevant that evaluations should include an explicit assessment of a projects’ Results Framework indicators and the underpinning logic and trajectory of the GPSA Theory of Action.</w:t>
            </w:r>
          </w:p>
        </w:tc>
        <w:tc>
          <w:tcPr>
            <w:tcW w:w="3402" w:type="dxa"/>
          </w:tcPr>
          <w:p w14:paraId="4F3F34E2" w14:textId="77777777"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It is important for final evaluations</w:t>
            </w:r>
            <w:r w:rsidRPr="0054538E">
              <w:rPr>
                <w:rFonts w:ascii="Arial" w:eastAsia="Times New Roman" w:hAnsi="Arial" w:cs="Arial"/>
                <w:color w:val="000000"/>
                <w:sz w:val="20"/>
                <w:szCs w:val="20"/>
                <w:lang w:eastAsia="en-CA"/>
              </w:rPr>
              <w:t xml:space="preserve"> to </w:t>
            </w:r>
            <w:r>
              <w:rPr>
                <w:rFonts w:ascii="Arial" w:eastAsia="Times New Roman" w:hAnsi="Arial" w:cs="Arial"/>
                <w:color w:val="000000"/>
                <w:sz w:val="20"/>
                <w:szCs w:val="20"/>
                <w:lang w:eastAsia="en-CA"/>
              </w:rPr>
              <w:t xml:space="preserve">explicitly </w:t>
            </w:r>
            <w:r w:rsidRPr="0054538E">
              <w:rPr>
                <w:rFonts w:ascii="Arial" w:eastAsia="Times New Roman" w:hAnsi="Arial" w:cs="Arial"/>
                <w:color w:val="000000"/>
                <w:sz w:val="20"/>
                <w:szCs w:val="20"/>
                <w:lang w:eastAsia="en-CA"/>
              </w:rPr>
              <w:t xml:space="preserve">link to </w:t>
            </w:r>
            <w:r>
              <w:rPr>
                <w:rFonts w:ascii="Arial" w:eastAsia="Times New Roman" w:hAnsi="Arial" w:cs="Arial"/>
                <w:color w:val="000000"/>
                <w:sz w:val="20"/>
                <w:szCs w:val="20"/>
                <w:lang w:eastAsia="en-CA"/>
              </w:rPr>
              <w:t>GPSA Theory of Action as a key objective of assessment and learning while they should also include the indicators from</w:t>
            </w:r>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the project Results Framework</w:t>
            </w:r>
            <w:r w:rsidRPr="0054538E">
              <w:rPr>
                <w:rFonts w:ascii="Arial" w:eastAsia="Times New Roman" w:hAnsi="Arial" w:cs="Arial"/>
                <w:color w:val="000000"/>
                <w:sz w:val="20"/>
                <w:szCs w:val="20"/>
                <w:lang w:eastAsia="en-CA"/>
              </w:rPr>
              <w:t xml:space="preserve"> directly and ensure all the domains are assessed in addition </w:t>
            </w:r>
            <w:r>
              <w:rPr>
                <w:rFonts w:ascii="Arial" w:eastAsia="Times New Roman" w:hAnsi="Arial" w:cs="Arial"/>
                <w:color w:val="000000"/>
                <w:sz w:val="20"/>
                <w:szCs w:val="20"/>
                <w:lang w:eastAsia="en-CA"/>
              </w:rPr>
              <w:t>to any other objectives or themes of an evaluation</w:t>
            </w:r>
            <w:r w:rsidRPr="0054538E">
              <w:rPr>
                <w:rFonts w:ascii="Arial" w:eastAsia="Times New Roman" w:hAnsi="Arial" w:cs="Arial"/>
                <w:color w:val="000000"/>
                <w:sz w:val="20"/>
                <w:szCs w:val="20"/>
                <w:lang w:eastAsia="en-CA"/>
              </w:rPr>
              <w:t xml:space="preserve">. </w:t>
            </w:r>
          </w:p>
          <w:p w14:paraId="1951AC0C" w14:textId="46DC9738" w:rsidR="0021382A"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The GPSA's</w:t>
            </w:r>
            <w:r>
              <w:rPr>
                <w:rFonts w:ascii="Arial" w:eastAsia="Times New Roman" w:hAnsi="Arial" w:cs="Arial"/>
                <w:color w:val="000000"/>
                <w:sz w:val="20"/>
                <w:szCs w:val="20"/>
                <w:lang w:eastAsia="en-CA"/>
              </w:rPr>
              <w:t xml:space="preserve"> requirement for all projects to include the functional equivalent of the operational indicators in the GPSA Results Framework, the MERL</w:t>
            </w:r>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 xml:space="preserve">research design process, and the </w:t>
            </w:r>
            <w:r w:rsidRPr="0054538E">
              <w:rPr>
                <w:rFonts w:ascii="Arial" w:eastAsia="Times New Roman" w:hAnsi="Arial" w:cs="Arial"/>
                <w:color w:val="000000"/>
                <w:sz w:val="20"/>
                <w:szCs w:val="20"/>
                <w:lang w:eastAsia="en-CA"/>
              </w:rPr>
              <w:t xml:space="preserve">standard KEQs </w:t>
            </w:r>
            <w:r>
              <w:rPr>
                <w:rFonts w:ascii="Arial" w:eastAsia="Times New Roman" w:hAnsi="Arial" w:cs="Arial"/>
                <w:color w:val="000000"/>
                <w:sz w:val="20"/>
                <w:szCs w:val="20"/>
                <w:lang w:eastAsia="en-CA"/>
              </w:rPr>
              <w:t>(as per the MERL Guide) is expected support this process and assurance in future. In addition, updating the standard GPSA Key Evaluation Questions that are in the MERL guide and Consultant ToR would also help to ensure that the necessary components of the projects are assessed and enable easier portfolio comparisons and aggregation of results.</w:t>
            </w:r>
          </w:p>
          <w:p w14:paraId="52146978" w14:textId="12815CF1" w:rsidR="0021382A" w:rsidRDefault="0021382A" w:rsidP="0021382A">
            <w:pPr>
              <w:spacing w:after="0" w:line="240" w:lineRule="auto"/>
              <w:rPr>
                <w:rFonts w:ascii="Arial" w:eastAsia="Times New Roman" w:hAnsi="Arial" w:cs="Arial"/>
                <w:color w:val="000000"/>
                <w:sz w:val="20"/>
                <w:szCs w:val="20"/>
                <w:lang w:eastAsia="en-CA"/>
              </w:rPr>
            </w:pPr>
          </w:p>
        </w:tc>
      </w:tr>
      <w:tr w:rsidR="00C14DEC" w:rsidRPr="0054538E" w14:paraId="4F8E4FB1" w14:textId="77777777" w:rsidTr="005207A9">
        <w:trPr>
          <w:trHeight w:val="583"/>
        </w:trPr>
        <w:tc>
          <w:tcPr>
            <w:tcW w:w="2241" w:type="dxa"/>
            <w:shd w:val="clear" w:color="auto" w:fill="auto"/>
            <w:noWrap/>
            <w:vAlign w:val="bottom"/>
          </w:tcPr>
          <w:p w14:paraId="7667E974" w14:textId="7BF23F88"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Consistency of</w:t>
            </w:r>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MERL consultants</w:t>
            </w:r>
            <w:r w:rsidRPr="0054538E">
              <w:rPr>
                <w:rFonts w:ascii="Arial" w:eastAsia="Times New Roman" w:hAnsi="Arial" w:cs="Arial"/>
                <w:color w:val="000000"/>
                <w:sz w:val="20"/>
                <w:szCs w:val="20"/>
                <w:lang w:eastAsia="en-CA"/>
              </w:rPr>
              <w:t xml:space="preserve"> </w:t>
            </w:r>
          </w:p>
        </w:tc>
        <w:tc>
          <w:tcPr>
            <w:tcW w:w="4417" w:type="dxa"/>
            <w:shd w:val="clear" w:color="auto" w:fill="auto"/>
            <w:vAlign w:val="bottom"/>
          </w:tcPr>
          <w:p w14:paraId="1C1D6E57" w14:textId="77777777" w:rsidR="0021382A" w:rsidRDefault="0021382A" w:rsidP="0021382A">
            <w:pPr>
              <w:spacing w:after="0" w:line="240" w:lineRule="auto"/>
              <w:rPr>
                <w:rFonts w:ascii="Arial" w:eastAsia="Times New Roman" w:hAnsi="Arial" w:cs="Arial"/>
                <w:color w:val="000000"/>
                <w:sz w:val="20"/>
                <w:szCs w:val="20"/>
                <w:lang w:eastAsia="en-CA"/>
              </w:rPr>
            </w:pPr>
          </w:p>
          <w:p w14:paraId="0B7406AC" w14:textId="09D71A6D"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 xml:space="preserve">Consistency in using the same </w:t>
            </w:r>
            <w:r>
              <w:rPr>
                <w:rFonts w:ascii="Arial" w:eastAsia="Times New Roman" w:hAnsi="Arial" w:cs="Arial"/>
                <w:color w:val="000000"/>
                <w:sz w:val="20"/>
                <w:szCs w:val="20"/>
                <w:lang w:eastAsia="en-CA"/>
              </w:rPr>
              <w:t xml:space="preserve">MERL </w:t>
            </w:r>
            <w:r w:rsidRPr="0054538E">
              <w:rPr>
                <w:rFonts w:ascii="Arial" w:eastAsia="Times New Roman" w:hAnsi="Arial" w:cs="Arial"/>
                <w:color w:val="000000"/>
                <w:sz w:val="20"/>
                <w:szCs w:val="20"/>
                <w:lang w:eastAsia="en-CA"/>
              </w:rPr>
              <w:t xml:space="preserve">consultant over time </w:t>
            </w:r>
            <w:r>
              <w:rPr>
                <w:rFonts w:ascii="Arial" w:eastAsia="Times New Roman" w:hAnsi="Arial" w:cs="Arial"/>
                <w:color w:val="000000"/>
                <w:sz w:val="20"/>
                <w:szCs w:val="20"/>
                <w:lang w:eastAsia="en-CA"/>
              </w:rPr>
              <w:t>indicates</w:t>
            </w:r>
            <w:r w:rsidRPr="0054538E">
              <w:rPr>
                <w:rFonts w:ascii="Arial" w:eastAsia="Times New Roman" w:hAnsi="Arial" w:cs="Arial"/>
                <w:color w:val="000000"/>
                <w:sz w:val="20"/>
                <w:szCs w:val="20"/>
                <w:lang w:eastAsia="en-CA"/>
              </w:rPr>
              <w:t xml:space="preserve"> positive outcomes for the quality and rigour of the MERL for the projects </w:t>
            </w:r>
            <w:r>
              <w:rPr>
                <w:rFonts w:ascii="Arial" w:eastAsia="Times New Roman" w:hAnsi="Arial" w:cs="Arial"/>
                <w:color w:val="000000"/>
                <w:sz w:val="20"/>
                <w:szCs w:val="20"/>
                <w:lang w:eastAsia="en-CA"/>
              </w:rPr>
              <w:t xml:space="preserve">reviewed </w:t>
            </w:r>
            <w:r w:rsidRPr="0054538E">
              <w:rPr>
                <w:rFonts w:ascii="Arial" w:eastAsia="Times New Roman" w:hAnsi="Arial" w:cs="Arial"/>
                <w:color w:val="000000"/>
                <w:sz w:val="20"/>
                <w:szCs w:val="20"/>
                <w:lang w:eastAsia="en-CA"/>
              </w:rPr>
              <w:t>and</w:t>
            </w:r>
            <w:r>
              <w:rPr>
                <w:rFonts w:ascii="Arial" w:eastAsia="Times New Roman" w:hAnsi="Arial" w:cs="Arial"/>
                <w:color w:val="000000"/>
                <w:sz w:val="20"/>
                <w:szCs w:val="20"/>
                <w:lang w:eastAsia="en-CA"/>
              </w:rPr>
              <w:t xml:space="preserve"> supports the</w:t>
            </w:r>
            <w:r w:rsidRPr="0054538E">
              <w:rPr>
                <w:rFonts w:ascii="Arial" w:eastAsia="Times New Roman" w:hAnsi="Arial" w:cs="Arial"/>
                <w:color w:val="000000"/>
                <w:sz w:val="20"/>
                <w:szCs w:val="20"/>
                <w:lang w:eastAsia="en-CA"/>
              </w:rPr>
              <w:t xml:space="preserve"> ability to code the GPSA</w:t>
            </w:r>
            <w:r>
              <w:rPr>
                <w:rFonts w:ascii="Arial" w:eastAsia="Times New Roman" w:hAnsi="Arial" w:cs="Arial"/>
                <w:color w:val="000000"/>
                <w:sz w:val="20"/>
                <w:szCs w:val="20"/>
                <w:lang w:eastAsia="en-CA"/>
              </w:rPr>
              <w:t>’s operational Results Framework</w:t>
            </w:r>
            <w:r w:rsidRPr="0054538E">
              <w:rPr>
                <w:rFonts w:ascii="Arial" w:eastAsia="Times New Roman" w:hAnsi="Arial" w:cs="Arial"/>
                <w:color w:val="000000"/>
                <w:sz w:val="20"/>
                <w:szCs w:val="20"/>
                <w:lang w:eastAsia="en-CA"/>
              </w:rPr>
              <w:t xml:space="preserve"> indicators. It should be noted also that the quality of the consultant reports differs but with the strongest ones, there is value add to the projects</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T</w:t>
            </w:r>
            <w:r w:rsidRPr="0054538E">
              <w:rPr>
                <w:rFonts w:ascii="Arial" w:eastAsia="Times New Roman" w:hAnsi="Arial" w:cs="Arial"/>
                <w:color w:val="000000"/>
                <w:sz w:val="20"/>
                <w:szCs w:val="20"/>
                <w:lang w:eastAsia="en-CA"/>
              </w:rPr>
              <w:t xml:space="preserve">his </w:t>
            </w:r>
            <w:r>
              <w:rPr>
                <w:rFonts w:ascii="Arial" w:eastAsia="Times New Roman" w:hAnsi="Arial" w:cs="Arial"/>
                <w:color w:val="000000"/>
                <w:sz w:val="20"/>
                <w:szCs w:val="20"/>
                <w:lang w:eastAsia="en-CA"/>
              </w:rPr>
              <w:t xml:space="preserve">often </w:t>
            </w:r>
            <w:r w:rsidRPr="0054538E">
              <w:rPr>
                <w:rFonts w:ascii="Arial" w:eastAsia="Times New Roman" w:hAnsi="Arial" w:cs="Arial"/>
                <w:color w:val="000000"/>
                <w:sz w:val="20"/>
                <w:szCs w:val="20"/>
                <w:lang w:eastAsia="en-CA"/>
              </w:rPr>
              <w:t xml:space="preserve">implies a higher level of resources that need to be dedicated to the consultants for MERL of GPSA projects </w:t>
            </w:r>
            <w:proofErr w:type="gramStart"/>
            <w:r>
              <w:rPr>
                <w:rFonts w:ascii="Arial" w:eastAsia="Times New Roman" w:hAnsi="Arial" w:cs="Arial"/>
                <w:color w:val="000000"/>
                <w:sz w:val="20"/>
                <w:szCs w:val="20"/>
                <w:lang w:eastAsia="en-CA"/>
              </w:rPr>
              <w:t xml:space="preserve">in order </w:t>
            </w:r>
            <w:r w:rsidRPr="0054538E">
              <w:rPr>
                <w:rFonts w:ascii="Arial" w:eastAsia="Times New Roman" w:hAnsi="Arial" w:cs="Arial"/>
                <w:color w:val="000000"/>
                <w:sz w:val="20"/>
                <w:szCs w:val="20"/>
                <w:lang w:eastAsia="en-CA"/>
              </w:rPr>
              <w:t>to</w:t>
            </w:r>
            <w:proofErr w:type="gramEnd"/>
            <w:r w:rsidRPr="0054538E">
              <w:rPr>
                <w:rFonts w:ascii="Arial" w:eastAsia="Times New Roman" w:hAnsi="Arial" w:cs="Arial"/>
                <w:color w:val="000000"/>
                <w:sz w:val="20"/>
                <w:szCs w:val="20"/>
                <w:lang w:eastAsia="en-CA"/>
              </w:rPr>
              <w:t xml:space="preserve"> yield high quality MERL for a project</w:t>
            </w:r>
            <w:r>
              <w:rPr>
                <w:rFonts w:ascii="Arial" w:eastAsia="Times New Roman" w:hAnsi="Arial" w:cs="Arial"/>
                <w:color w:val="000000"/>
                <w:sz w:val="20"/>
                <w:szCs w:val="20"/>
                <w:lang w:eastAsia="en-CA"/>
              </w:rPr>
              <w:t xml:space="preserve"> and to enable the consistent and robust coding of GPSA Results Framework operational indicators at the project level and to aggregate them at the portfolio level</w:t>
            </w:r>
            <w:r w:rsidRPr="0054538E">
              <w:rPr>
                <w:rFonts w:ascii="Arial" w:eastAsia="Times New Roman" w:hAnsi="Arial" w:cs="Arial"/>
                <w:color w:val="000000"/>
                <w:sz w:val="20"/>
                <w:szCs w:val="20"/>
                <w:lang w:eastAsia="en-CA"/>
              </w:rPr>
              <w:t xml:space="preserve">. </w:t>
            </w:r>
          </w:p>
        </w:tc>
        <w:tc>
          <w:tcPr>
            <w:tcW w:w="3402" w:type="dxa"/>
          </w:tcPr>
          <w:p w14:paraId="6B191F5C" w14:textId="77777777" w:rsidR="0021382A" w:rsidRDefault="0021382A" w:rsidP="0021382A">
            <w:pPr>
              <w:spacing w:after="0" w:line="240" w:lineRule="auto"/>
              <w:rPr>
                <w:rFonts w:ascii="Arial" w:eastAsia="Times New Roman" w:hAnsi="Arial" w:cs="Arial"/>
                <w:color w:val="000000"/>
                <w:sz w:val="20"/>
                <w:szCs w:val="20"/>
                <w:lang w:eastAsia="en-CA"/>
              </w:rPr>
            </w:pPr>
          </w:p>
          <w:p w14:paraId="7D30ADF3" w14:textId="07D75468"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The</w:t>
            </w:r>
            <w:r>
              <w:rPr>
                <w:rFonts w:ascii="Arial" w:eastAsia="Times New Roman" w:hAnsi="Arial" w:cs="Arial"/>
                <w:color w:val="000000"/>
                <w:sz w:val="20"/>
                <w:szCs w:val="20"/>
                <w:lang w:eastAsia="en-CA"/>
              </w:rPr>
              <w:pgNum/>
            </w:r>
            <w:r>
              <w:rPr>
                <w:rFonts w:ascii="Arial" w:eastAsia="Times New Roman" w:hAnsi="Arial" w:cs="Arial"/>
                <w:color w:val="000000"/>
                <w:sz w:val="20"/>
                <w:szCs w:val="20"/>
                <w:lang w:eastAsia="en-CA"/>
              </w:rPr>
              <w:t>laned practice of using the same MERL Consultant (as per the GPSA’s model MERL Consultant Terms of Reference and the MERL Guide) is supported by the findings of this retroactive coding exercise. However, with the MERL budgets available for GPSA projects, it may be difficult to resource the required long-term and quality MERL consultant support to enable this – the GPSA should re-examine its MERL budgets and consider increasing them where possible.</w:t>
            </w:r>
          </w:p>
        </w:tc>
      </w:tr>
      <w:tr w:rsidR="00C14DEC" w:rsidRPr="0054538E" w14:paraId="5AC248C8" w14:textId="4D1C63CF" w:rsidTr="005207A9">
        <w:trPr>
          <w:trHeight w:val="875"/>
        </w:trPr>
        <w:tc>
          <w:tcPr>
            <w:tcW w:w="2241" w:type="dxa"/>
            <w:shd w:val="clear" w:color="auto" w:fill="auto"/>
            <w:vAlign w:val="bottom"/>
            <w:hideMark/>
          </w:tcPr>
          <w:p w14:paraId="3DB4ABB7" w14:textId="72AF7F6F"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 xml:space="preserve">Capacity development </w:t>
            </w:r>
            <w:r>
              <w:rPr>
                <w:rFonts w:ascii="Arial" w:eastAsia="Times New Roman" w:hAnsi="Arial" w:cs="Arial"/>
                <w:color w:val="000000"/>
                <w:sz w:val="20"/>
                <w:szCs w:val="20"/>
                <w:lang w:eastAsia="en-CA"/>
              </w:rPr>
              <w:t xml:space="preserve">and </w:t>
            </w:r>
            <w:r w:rsidRPr="0054538E">
              <w:rPr>
                <w:rFonts w:ascii="Arial" w:eastAsia="Times New Roman" w:hAnsi="Arial" w:cs="Arial"/>
                <w:color w:val="000000"/>
                <w:sz w:val="20"/>
                <w:szCs w:val="20"/>
                <w:lang w:eastAsia="en-CA"/>
              </w:rPr>
              <w:t>assessment</w:t>
            </w:r>
          </w:p>
        </w:tc>
        <w:tc>
          <w:tcPr>
            <w:tcW w:w="4417" w:type="dxa"/>
            <w:shd w:val="clear" w:color="auto" w:fill="auto"/>
            <w:vAlign w:val="bottom"/>
            <w:hideMark/>
          </w:tcPr>
          <w:p w14:paraId="55EDB5F8" w14:textId="77777777" w:rsidR="0021382A" w:rsidRDefault="0021382A" w:rsidP="0021382A">
            <w:pPr>
              <w:spacing w:after="0" w:line="240" w:lineRule="auto"/>
              <w:rPr>
                <w:rFonts w:ascii="Arial" w:eastAsia="Times New Roman" w:hAnsi="Arial" w:cs="Arial"/>
                <w:color w:val="000000"/>
                <w:sz w:val="20"/>
                <w:szCs w:val="20"/>
                <w:lang w:eastAsia="en-CA"/>
              </w:rPr>
            </w:pPr>
          </w:p>
          <w:p w14:paraId="572C54E9" w14:textId="4AD5A413"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The evidence base overall for the project sample reviewed did not include capacity assessments in line with the iden</w:t>
            </w:r>
            <w:r w:rsidR="00FA5D7E">
              <w:rPr>
                <w:rFonts w:ascii="Arial" w:eastAsia="Times New Roman" w:hAnsi="Arial" w:cs="Arial"/>
                <w:color w:val="000000"/>
                <w:sz w:val="20"/>
                <w:szCs w:val="20"/>
                <w:lang w:eastAsia="en-CA"/>
              </w:rPr>
              <w:t>ti</w:t>
            </w:r>
            <w:r>
              <w:rPr>
                <w:rFonts w:ascii="Arial" w:eastAsia="Times New Roman" w:hAnsi="Arial" w:cs="Arial"/>
                <w:color w:val="000000"/>
                <w:sz w:val="20"/>
                <w:szCs w:val="20"/>
                <w:lang w:eastAsia="en-CA"/>
              </w:rPr>
              <w:t xml:space="preserve">fied GPSA capacities for Collaborative Social Accountability. While some of the projects may have conducted some form of capacity assessments, this was not part of the documents reviewed or available. </w:t>
            </w:r>
            <w:r w:rsidRPr="0054538E">
              <w:rPr>
                <w:rFonts w:ascii="Arial" w:eastAsia="Times New Roman" w:hAnsi="Arial" w:cs="Arial"/>
                <w:color w:val="000000"/>
                <w:sz w:val="20"/>
                <w:szCs w:val="20"/>
                <w:lang w:eastAsia="en-CA"/>
              </w:rPr>
              <w:t>Many documents</w:t>
            </w:r>
            <w:r>
              <w:rPr>
                <w:rFonts w:ascii="Arial" w:eastAsia="Times New Roman" w:hAnsi="Arial" w:cs="Arial"/>
                <w:color w:val="000000"/>
                <w:sz w:val="20"/>
                <w:szCs w:val="20"/>
                <w:lang w:eastAsia="en-CA"/>
              </w:rPr>
              <w:t xml:space="preserve"> reviewed in the evidence sample</w:t>
            </w:r>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lastRenderedPageBreak/>
              <w:t>make ample reference to</w:t>
            </w:r>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capacity</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 xml:space="preserve"> improvements</w:t>
            </w:r>
            <w:r>
              <w:rPr>
                <w:rFonts w:ascii="Arial" w:eastAsia="Times New Roman" w:hAnsi="Arial" w:cs="Arial"/>
                <w:color w:val="000000"/>
                <w:sz w:val="20"/>
                <w:szCs w:val="20"/>
                <w:lang w:eastAsia="en-CA"/>
              </w:rPr>
              <w:t xml:space="preserve"> and some note those relevant to the GPSA capacities. However, this was</w:t>
            </w:r>
            <w:r w:rsidRPr="0054538E">
              <w:rPr>
                <w:rFonts w:ascii="Arial" w:eastAsia="Times New Roman" w:hAnsi="Arial" w:cs="Arial"/>
                <w:color w:val="000000"/>
                <w:sz w:val="20"/>
                <w:szCs w:val="20"/>
                <w:lang w:eastAsia="en-CA"/>
              </w:rPr>
              <w:t xml:space="preserve"> not </w:t>
            </w:r>
            <w:r>
              <w:rPr>
                <w:rFonts w:ascii="Arial" w:eastAsia="Times New Roman" w:hAnsi="Arial" w:cs="Arial"/>
                <w:color w:val="000000"/>
                <w:sz w:val="20"/>
                <w:szCs w:val="20"/>
                <w:lang w:eastAsia="en-CA"/>
              </w:rPr>
              <w:t xml:space="preserve">provided </w:t>
            </w:r>
            <w:r w:rsidRPr="0054538E">
              <w:rPr>
                <w:rFonts w:ascii="Arial" w:eastAsia="Times New Roman" w:hAnsi="Arial" w:cs="Arial"/>
                <w:color w:val="000000"/>
                <w:sz w:val="20"/>
                <w:szCs w:val="20"/>
                <w:lang w:eastAsia="en-CA"/>
              </w:rPr>
              <w:t>with</w:t>
            </w:r>
            <w:r>
              <w:rPr>
                <w:rFonts w:ascii="Arial" w:eastAsia="Times New Roman" w:hAnsi="Arial" w:cs="Arial"/>
                <w:color w:val="000000"/>
                <w:sz w:val="20"/>
                <w:szCs w:val="20"/>
                <w:lang w:eastAsia="en-CA"/>
              </w:rPr>
              <w:t xml:space="preserve"> ample</w:t>
            </w:r>
            <w:r w:rsidRPr="0054538E">
              <w:rPr>
                <w:rFonts w:ascii="Arial" w:eastAsia="Times New Roman" w:hAnsi="Arial" w:cs="Arial"/>
                <w:color w:val="000000"/>
                <w:sz w:val="20"/>
                <w:szCs w:val="20"/>
                <w:lang w:eastAsia="en-CA"/>
              </w:rPr>
              <w:t xml:space="preserve"> specific</w:t>
            </w:r>
            <w:r>
              <w:rPr>
                <w:rFonts w:ascii="Arial" w:eastAsia="Times New Roman" w:hAnsi="Arial" w:cs="Arial"/>
                <w:color w:val="000000"/>
                <w:sz w:val="20"/>
                <w:szCs w:val="20"/>
                <w:lang w:eastAsia="en-CA"/>
              </w:rPr>
              <w:t xml:space="preserve"> details,</w:t>
            </w:r>
            <w:r w:rsidRPr="0054538E">
              <w:rPr>
                <w:rFonts w:ascii="Arial" w:eastAsia="Times New Roman" w:hAnsi="Arial" w:cs="Arial"/>
                <w:color w:val="000000"/>
                <w:sz w:val="20"/>
                <w:szCs w:val="20"/>
                <w:lang w:eastAsia="en-CA"/>
              </w:rPr>
              <w:t xml:space="preserve"> which ma</w:t>
            </w:r>
            <w:r>
              <w:rPr>
                <w:rFonts w:ascii="Arial" w:eastAsia="Times New Roman" w:hAnsi="Arial" w:cs="Arial"/>
                <w:color w:val="000000"/>
                <w:sz w:val="20"/>
                <w:szCs w:val="20"/>
                <w:lang w:eastAsia="en-CA"/>
              </w:rPr>
              <w:t>de</w:t>
            </w:r>
            <w:r w:rsidRPr="0054538E">
              <w:rPr>
                <w:rFonts w:ascii="Arial" w:eastAsia="Times New Roman" w:hAnsi="Arial" w:cs="Arial"/>
                <w:color w:val="000000"/>
                <w:sz w:val="20"/>
                <w:szCs w:val="20"/>
                <w:lang w:eastAsia="en-CA"/>
              </w:rPr>
              <w:t xml:space="preserve"> assessing the core identified GPSA capacity types challenging</w:t>
            </w:r>
            <w:r>
              <w:rPr>
                <w:rFonts w:ascii="Arial" w:eastAsia="Times New Roman" w:hAnsi="Arial" w:cs="Arial"/>
                <w:color w:val="000000"/>
                <w:sz w:val="20"/>
                <w:szCs w:val="20"/>
                <w:lang w:eastAsia="en-CA"/>
              </w:rPr>
              <w:t xml:space="preserve">. The coder relied on a broad conceptual framework for capacity improvement relying on the available examples </w:t>
            </w:r>
            <w:proofErr w:type="gramStart"/>
            <w:r>
              <w:rPr>
                <w:rFonts w:ascii="Arial" w:eastAsia="Times New Roman" w:hAnsi="Arial" w:cs="Arial"/>
                <w:color w:val="000000"/>
                <w:sz w:val="20"/>
                <w:szCs w:val="20"/>
                <w:lang w:eastAsia="en-CA"/>
              </w:rPr>
              <w:t>in order to</w:t>
            </w:r>
            <w:proofErr w:type="gramEnd"/>
            <w:r>
              <w:rPr>
                <w:rFonts w:ascii="Arial" w:eastAsia="Times New Roman" w:hAnsi="Arial" w:cs="Arial"/>
                <w:color w:val="000000"/>
                <w:sz w:val="20"/>
                <w:szCs w:val="20"/>
                <w:lang w:eastAsia="en-CA"/>
              </w:rPr>
              <w:t xml:space="preserve"> conduct the exercise and provide the scores for outcome indicator 1a). However, this would be limitation to coding and scoring of the indicators on capacity development if it is not addressed going forward.</w:t>
            </w:r>
          </w:p>
        </w:tc>
        <w:tc>
          <w:tcPr>
            <w:tcW w:w="3402" w:type="dxa"/>
          </w:tcPr>
          <w:p w14:paraId="37AA0E92" w14:textId="77777777" w:rsidR="0021382A" w:rsidRDefault="0021382A" w:rsidP="0021382A">
            <w:pPr>
              <w:spacing w:after="0" w:line="240" w:lineRule="auto"/>
              <w:rPr>
                <w:rFonts w:ascii="Arial" w:eastAsia="Times New Roman" w:hAnsi="Arial" w:cs="Arial"/>
                <w:color w:val="000000"/>
                <w:sz w:val="20"/>
                <w:szCs w:val="20"/>
                <w:lang w:eastAsia="en-CA"/>
              </w:rPr>
            </w:pPr>
          </w:p>
          <w:p w14:paraId="552DE8B2" w14:textId="7637043A" w:rsidR="0021382A" w:rsidRPr="0054538E" w:rsidRDefault="0021382A" w:rsidP="0021382A">
            <w:pPr>
              <w:spacing w:after="0" w:line="240" w:lineRule="auto"/>
              <w:rPr>
                <w:rFonts w:ascii="Arial" w:eastAsia="Times New Roman" w:hAnsi="Arial" w:cs="Arial"/>
                <w:color w:val="000000"/>
                <w:sz w:val="20"/>
                <w:szCs w:val="20"/>
                <w:lang w:eastAsia="en-CA"/>
              </w:rPr>
            </w:pPr>
            <w:proofErr w:type="gramStart"/>
            <w:r w:rsidRPr="0054538E">
              <w:rPr>
                <w:rFonts w:ascii="Arial" w:eastAsia="Times New Roman" w:hAnsi="Arial" w:cs="Arial"/>
                <w:color w:val="000000"/>
                <w:sz w:val="20"/>
                <w:szCs w:val="20"/>
                <w:lang w:eastAsia="en-CA"/>
              </w:rPr>
              <w:t>In order to</w:t>
            </w:r>
            <w:proofErr w:type="gramEnd"/>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glean t</w:t>
            </w:r>
            <w:r w:rsidRPr="0054538E">
              <w:rPr>
                <w:rFonts w:ascii="Arial" w:eastAsia="Times New Roman" w:hAnsi="Arial" w:cs="Arial"/>
                <w:color w:val="000000"/>
                <w:sz w:val="20"/>
                <w:szCs w:val="20"/>
                <w:lang w:eastAsia="en-CA"/>
              </w:rPr>
              <w:t xml:space="preserve">he level of detail necessary to assess </w:t>
            </w:r>
            <w:r>
              <w:rPr>
                <w:rFonts w:ascii="Arial" w:eastAsia="Times New Roman" w:hAnsi="Arial" w:cs="Arial"/>
                <w:color w:val="000000"/>
                <w:sz w:val="20"/>
                <w:szCs w:val="20"/>
                <w:lang w:eastAsia="en-CA"/>
              </w:rPr>
              <w:t xml:space="preserve">projects (lead grant partners and their direct implementing CSO partners) </w:t>
            </w:r>
            <w:r w:rsidRPr="0054538E">
              <w:rPr>
                <w:rFonts w:ascii="Arial" w:eastAsia="Times New Roman" w:hAnsi="Arial" w:cs="Arial"/>
                <w:color w:val="000000"/>
                <w:sz w:val="20"/>
                <w:szCs w:val="20"/>
                <w:lang w:eastAsia="en-CA"/>
              </w:rPr>
              <w:t xml:space="preserve">across </w:t>
            </w:r>
            <w:r>
              <w:rPr>
                <w:rFonts w:ascii="Arial" w:eastAsia="Times New Roman" w:hAnsi="Arial" w:cs="Arial"/>
                <w:color w:val="000000"/>
                <w:sz w:val="20"/>
                <w:szCs w:val="20"/>
                <w:lang w:eastAsia="en-CA"/>
              </w:rPr>
              <w:t xml:space="preserve">identified </w:t>
            </w:r>
            <w:r w:rsidRPr="0054538E">
              <w:rPr>
                <w:rFonts w:ascii="Arial" w:eastAsia="Times New Roman" w:hAnsi="Arial" w:cs="Arial"/>
                <w:color w:val="000000"/>
                <w:sz w:val="20"/>
                <w:szCs w:val="20"/>
                <w:lang w:eastAsia="en-CA"/>
              </w:rPr>
              <w:t>types of</w:t>
            </w:r>
            <w:r>
              <w:rPr>
                <w:rFonts w:ascii="Arial" w:eastAsia="Times New Roman" w:hAnsi="Arial" w:cs="Arial"/>
                <w:color w:val="000000"/>
                <w:sz w:val="20"/>
                <w:szCs w:val="20"/>
                <w:lang w:eastAsia="en-CA"/>
              </w:rPr>
              <w:t xml:space="preserve"> GPSA</w:t>
            </w:r>
            <w:r w:rsidRPr="0054538E">
              <w:rPr>
                <w:rFonts w:ascii="Arial" w:eastAsia="Times New Roman" w:hAnsi="Arial" w:cs="Arial"/>
                <w:color w:val="000000"/>
                <w:sz w:val="20"/>
                <w:szCs w:val="20"/>
                <w:lang w:eastAsia="en-CA"/>
              </w:rPr>
              <w:t xml:space="preserve"> capacities, </w:t>
            </w:r>
            <w:r>
              <w:rPr>
                <w:rFonts w:ascii="Arial" w:eastAsia="Times New Roman" w:hAnsi="Arial" w:cs="Arial"/>
                <w:color w:val="000000"/>
                <w:sz w:val="20"/>
                <w:szCs w:val="20"/>
                <w:lang w:eastAsia="en-CA"/>
              </w:rPr>
              <w:t xml:space="preserve">project </w:t>
            </w:r>
            <w:r w:rsidRPr="0054538E">
              <w:rPr>
                <w:rFonts w:ascii="Arial" w:eastAsia="Times New Roman" w:hAnsi="Arial" w:cs="Arial"/>
                <w:color w:val="000000"/>
                <w:sz w:val="20"/>
                <w:szCs w:val="20"/>
                <w:lang w:eastAsia="en-CA"/>
              </w:rPr>
              <w:t>evaluations</w:t>
            </w:r>
            <w:r>
              <w:rPr>
                <w:rFonts w:ascii="Arial" w:eastAsia="Times New Roman" w:hAnsi="Arial" w:cs="Arial"/>
                <w:color w:val="000000"/>
                <w:sz w:val="20"/>
                <w:szCs w:val="20"/>
                <w:lang w:eastAsia="en-CA"/>
              </w:rPr>
              <w:t xml:space="preserve"> and </w:t>
            </w:r>
            <w:r w:rsidRPr="0054538E">
              <w:rPr>
                <w:rFonts w:ascii="Arial" w:eastAsia="Times New Roman" w:hAnsi="Arial" w:cs="Arial"/>
                <w:color w:val="000000"/>
                <w:sz w:val="20"/>
                <w:szCs w:val="20"/>
                <w:lang w:eastAsia="en-CA"/>
              </w:rPr>
              <w:t xml:space="preserve">reports </w:t>
            </w:r>
            <w:r>
              <w:rPr>
                <w:rFonts w:ascii="Arial" w:eastAsia="Times New Roman" w:hAnsi="Arial" w:cs="Arial"/>
                <w:color w:val="000000"/>
                <w:sz w:val="20"/>
                <w:szCs w:val="20"/>
                <w:lang w:eastAsia="en-CA"/>
              </w:rPr>
              <w:t>should explicitly</w:t>
            </w:r>
            <w:r w:rsidRPr="0054538E">
              <w:rPr>
                <w:rFonts w:ascii="Arial" w:eastAsia="Times New Roman" w:hAnsi="Arial" w:cs="Arial"/>
                <w:color w:val="000000"/>
                <w:sz w:val="20"/>
                <w:szCs w:val="20"/>
                <w:lang w:eastAsia="en-CA"/>
              </w:rPr>
              <w:t xml:space="preserve"> specify the types of capacities and speak to each one more distinctly</w:t>
            </w:r>
            <w:r>
              <w:rPr>
                <w:rFonts w:ascii="Arial" w:eastAsia="Times New Roman" w:hAnsi="Arial" w:cs="Arial"/>
                <w:color w:val="000000"/>
                <w:sz w:val="20"/>
                <w:szCs w:val="20"/>
                <w:lang w:eastAsia="en-CA"/>
              </w:rPr>
              <w:t xml:space="preserve">. The MERL Guide </w:t>
            </w:r>
            <w:r>
              <w:rPr>
                <w:rFonts w:ascii="Arial" w:eastAsia="Times New Roman" w:hAnsi="Arial" w:cs="Arial"/>
                <w:color w:val="000000"/>
                <w:sz w:val="20"/>
                <w:szCs w:val="20"/>
                <w:lang w:eastAsia="en-CA"/>
              </w:rPr>
              <w:lastRenderedPageBreak/>
              <w:t>includes specific guidance and suggested method for coding to be conducted by the project’s MERL Consultant which is expected to improve this in future.</w:t>
            </w:r>
          </w:p>
        </w:tc>
      </w:tr>
      <w:tr w:rsidR="00C14DEC" w:rsidRPr="0054538E" w14:paraId="7FFEC6D4" w14:textId="5D44CF1A" w:rsidTr="005207A9">
        <w:trPr>
          <w:trHeight w:val="1166"/>
        </w:trPr>
        <w:tc>
          <w:tcPr>
            <w:tcW w:w="2241" w:type="dxa"/>
            <w:shd w:val="clear" w:color="auto" w:fill="auto"/>
            <w:noWrap/>
            <w:vAlign w:val="bottom"/>
            <w:hideMark/>
          </w:tcPr>
          <w:p w14:paraId="6A6F0E33" w14:textId="77777777"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lastRenderedPageBreak/>
              <w:t xml:space="preserve">Corrective measures </w:t>
            </w:r>
          </w:p>
        </w:tc>
        <w:tc>
          <w:tcPr>
            <w:tcW w:w="4417" w:type="dxa"/>
            <w:shd w:val="clear" w:color="auto" w:fill="auto"/>
            <w:vAlign w:val="bottom"/>
            <w:hideMark/>
          </w:tcPr>
          <w:p w14:paraId="7D16E1F7" w14:textId="77777777" w:rsidR="0021382A" w:rsidRDefault="0021382A" w:rsidP="0021382A">
            <w:pPr>
              <w:spacing w:after="0" w:line="240" w:lineRule="auto"/>
              <w:rPr>
                <w:rFonts w:ascii="Arial" w:eastAsia="Times New Roman" w:hAnsi="Arial" w:cs="Arial"/>
                <w:color w:val="000000"/>
                <w:sz w:val="20"/>
                <w:szCs w:val="20"/>
                <w:lang w:eastAsia="en-CA"/>
              </w:rPr>
            </w:pPr>
          </w:p>
          <w:p w14:paraId="781AE85D" w14:textId="44FB707A"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The coding in terms of the % of corrective </w:t>
            </w:r>
          </w:p>
          <w:p w14:paraId="332766FC" w14:textId="190536FB"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measures (PDO level indicator for all projects or outcome indicator 1c) was difficult to assess with precision in the dataset although there were exceptions. However, these were often presented in ICRs and evaluations in a way that was not possible to validate and in mixed/varied ways even within a given project. The language ‘corrective measures’ was not always used.</w:t>
            </w:r>
          </w:p>
          <w:p w14:paraId="4180A9CC" w14:textId="17F934FC" w:rsidR="0021382A" w:rsidRPr="0054538E" w:rsidRDefault="0021382A" w:rsidP="0021382A">
            <w:pPr>
              <w:spacing w:after="0" w:line="240" w:lineRule="auto"/>
              <w:rPr>
                <w:rFonts w:ascii="Arial" w:eastAsia="Times New Roman" w:hAnsi="Arial" w:cs="Arial"/>
                <w:color w:val="000000"/>
                <w:sz w:val="20"/>
                <w:szCs w:val="20"/>
                <w:lang w:eastAsia="en-CA"/>
              </w:rPr>
            </w:pPr>
          </w:p>
        </w:tc>
        <w:tc>
          <w:tcPr>
            <w:tcW w:w="3402" w:type="dxa"/>
          </w:tcPr>
          <w:p w14:paraId="230160AB" w14:textId="77777777" w:rsidR="0021382A" w:rsidRDefault="0021382A" w:rsidP="0021382A">
            <w:pPr>
              <w:spacing w:after="0" w:line="240" w:lineRule="auto"/>
              <w:rPr>
                <w:rFonts w:ascii="Arial" w:eastAsia="Times New Roman" w:hAnsi="Arial" w:cs="Arial"/>
                <w:color w:val="000000"/>
                <w:sz w:val="20"/>
                <w:szCs w:val="20"/>
                <w:lang w:eastAsia="en-CA"/>
              </w:rPr>
            </w:pPr>
          </w:p>
          <w:p w14:paraId="33C9FB80" w14:textId="1260B4B6"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In order to score accurately for PDO indicator under outcome 1c) it will be important for projects</w:t>
            </w:r>
            <w:r>
              <w:rPr>
                <w:rFonts w:ascii="Arial" w:eastAsia="Times New Roman" w:hAnsi="Arial" w:cs="Arial"/>
                <w:color w:val="000000"/>
                <w:sz w:val="20"/>
                <w:szCs w:val="20"/>
                <w:lang w:eastAsia="en-CA"/>
              </w:rPr>
              <w:t xml:space="preserve"> and </w:t>
            </w:r>
            <w:r w:rsidRPr="0054538E">
              <w:rPr>
                <w:rFonts w:ascii="Arial" w:eastAsia="Times New Roman" w:hAnsi="Arial" w:cs="Arial"/>
                <w:color w:val="000000"/>
                <w:sz w:val="20"/>
                <w:szCs w:val="20"/>
                <w:lang w:eastAsia="en-CA"/>
              </w:rPr>
              <w:t xml:space="preserve">the </w:t>
            </w:r>
            <w:r>
              <w:rPr>
                <w:rFonts w:ascii="Arial" w:eastAsia="Times New Roman" w:hAnsi="Arial" w:cs="Arial"/>
                <w:color w:val="000000"/>
                <w:sz w:val="20"/>
                <w:szCs w:val="20"/>
                <w:lang w:eastAsia="en-CA"/>
              </w:rPr>
              <w:t>MERL</w:t>
            </w:r>
            <w:r w:rsidRPr="0054538E">
              <w:rPr>
                <w:rFonts w:ascii="Arial" w:eastAsia="Times New Roman" w:hAnsi="Arial" w:cs="Arial"/>
                <w:color w:val="000000"/>
                <w:sz w:val="20"/>
                <w:szCs w:val="20"/>
                <w:lang w:eastAsia="en-CA"/>
              </w:rPr>
              <w:t xml:space="preserve"> Consultant to ensure that all corrective measures are tracked</w:t>
            </w:r>
            <w:r>
              <w:rPr>
                <w:rFonts w:ascii="Arial" w:eastAsia="Times New Roman" w:hAnsi="Arial" w:cs="Arial"/>
                <w:color w:val="000000"/>
                <w:sz w:val="20"/>
                <w:szCs w:val="20"/>
                <w:lang w:eastAsia="en-CA"/>
              </w:rPr>
              <w:t>, documented</w:t>
            </w:r>
            <w:r w:rsidRPr="0054538E">
              <w:rPr>
                <w:rFonts w:ascii="Arial" w:eastAsia="Times New Roman" w:hAnsi="Arial" w:cs="Arial"/>
                <w:color w:val="000000"/>
                <w:sz w:val="20"/>
                <w:szCs w:val="20"/>
                <w:lang w:eastAsia="en-CA"/>
              </w:rPr>
              <w:t xml:space="preserve"> and compiled </w:t>
            </w:r>
            <w:r>
              <w:rPr>
                <w:rFonts w:ascii="Arial" w:eastAsia="Times New Roman" w:hAnsi="Arial" w:cs="Arial"/>
                <w:color w:val="000000"/>
                <w:sz w:val="20"/>
                <w:szCs w:val="20"/>
                <w:lang w:eastAsia="en-CA"/>
              </w:rPr>
              <w:t xml:space="preserve">throughout the project life by the grant partner </w:t>
            </w:r>
            <w:r w:rsidRPr="0054538E">
              <w:rPr>
                <w:rFonts w:ascii="Arial" w:eastAsia="Times New Roman" w:hAnsi="Arial" w:cs="Arial"/>
                <w:color w:val="000000"/>
                <w:sz w:val="20"/>
                <w:szCs w:val="20"/>
                <w:lang w:eastAsia="en-CA"/>
              </w:rPr>
              <w:t xml:space="preserve">in a way that can be </w:t>
            </w:r>
            <w:r>
              <w:rPr>
                <w:rFonts w:ascii="Arial" w:eastAsia="Times New Roman" w:hAnsi="Arial" w:cs="Arial"/>
                <w:color w:val="000000"/>
                <w:sz w:val="20"/>
                <w:szCs w:val="20"/>
                <w:lang w:eastAsia="en-CA"/>
              </w:rPr>
              <w:t xml:space="preserve">more </w:t>
            </w:r>
            <w:r w:rsidRPr="0054538E">
              <w:rPr>
                <w:rFonts w:ascii="Arial" w:eastAsia="Times New Roman" w:hAnsi="Arial" w:cs="Arial"/>
                <w:color w:val="000000"/>
                <w:sz w:val="20"/>
                <w:szCs w:val="20"/>
                <w:lang w:eastAsia="en-CA"/>
              </w:rPr>
              <w:t>easily counted</w:t>
            </w:r>
            <w:r>
              <w:rPr>
                <w:rFonts w:ascii="Arial" w:eastAsia="Times New Roman" w:hAnsi="Arial" w:cs="Arial"/>
                <w:color w:val="000000"/>
                <w:sz w:val="20"/>
                <w:szCs w:val="20"/>
                <w:lang w:eastAsia="en-CA"/>
              </w:rPr>
              <w:t xml:space="preserve">, </w:t>
            </w:r>
            <w:r w:rsidRPr="0054538E">
              <w:rPr>
                <w:rFonts w:ascii="Arial" w:eastAsia="Times New Roman" w:hAnsi="Arial" w:cs="Arial"/>
                <w:color w:val="000000"/>
                <w:sz w:val="20"/>
                <w:szCs w:val="20"/>
                <w:lang w:eastAsia="en-CA"/>
              </w:rPr>
              <w:t xml:space="preserve">assessed </w:t>
            </w:r>
            <w:r>
              <w:rPr>
                <w:rFonts w:ascii="Arial" w:eastAsia="Times New Roman" w:hAnsi="Arial" w:cs="Arial"/>
                <w:color w:val="000000"/>
                <w:sz w:val="20"/>
                <w:szCs w:val="20"/>
                <w:lang w:eastAsia="en-CA"/>
              </w:rPr>
              <w:t>and validated to ensure the integrity and validity of the indicator value in addition to confirming that the project contributed to corrective measures (yes or no)</w:t>
            </w:r>
            <w:r w:rsidRPr="0054538E">
              <w:rPr>
                <w:rFonts w:ascii="Arial" w:eastAsia="Times New Roman" w:hAnsi="Arial" w:cs="Arial"/>
                <w:color w:val="000000"/>
                <w:sz w:val="20"/>
                <w:szCs w:val="20"/>
                <w:lang w:eastAsia="en-CA"/>
              </w:rPr>
              <w:t>.  I</w:t>
            </w:r>
            <w:r>
              <w:rPr>
                <w:rFonts w:ascii="Arial" w:eastAsia="Times New Roman" w:hAnsi="Arial" w:cs="Arial"/>
                <w:color w:val="000000"/>
                <w:sz w:val="20"/>
                <w:szCs w:val="20"/>
                <w:lang w:eastAsia="en-CA"/>
              </w:rPr>
              <w:t>t is i</w:t>
            </w:r>
            <w:r w:rsidRPr="0054538E">
              <w:rPr>
                <w:rFonts w:ascii="Arial" w:eastAsia="Times New Roman" w:hAnsi="Arial" w:cs="Arial"/>
                <w:color w:val="000000"/>
                <w:sz w:val="20"/>
                <w:szCs w:val="20"/>
                <w:lang w:eastAsia="en-CA"/>
              </w:rPr>
              <w:t xml:space="preserve">mportant to try to ensure they use the language </w:t>
            </w:r>
            <w:r w:rsidRPr="0054538E">
              <w:rPr>
                <w:rFonts w:ascii="Arial" w:eastAsia="Times New Roman" w:hAnsi="Arial" w:cs="Arial"/>
                <w:b/>
                <w:bCs/>
                <w:color w:val="000000"/>
                <w:sz w:val="20"/>
                <w:szCs w:val="20"/>
                <w:lang w:eastAsia="en-CA"/>
              </w:rPr>
              <w:t xml:space="preserve">corrective measures </w:t>
            </w:r>
            <w:r w:rsidRPr="0054538E">
              <w:rPr>
                <w:rFonts w:ascii="Arial" w:eastAsia="Times New Roman" w:hAnsi="Arial" w:cs="Arial"/>
                <w:color w:val="000000"/>
                <w:sz w:val="20"/>
                <w:szCs w:val="20"/>
                <w:lang w:eastAsia="en-CA"/>
              </w:rPr>
              <w:t>so it is clear in the grant partner reporting</w:t>
            </w:r>
            <w:r>
              <w:rPr>
                <w:rFonts w:ascii="Arial" w:eastAsia="Times New Roman" w:hAnsi="Arial" w:cs="Arial"/>
                <w:color w:val="000000"/>
                <w:sz w:val="20"/>
                <w:szCs w:val="20"/>
                <w:lang w:eastAsia="en-CA"/>
              </w:rPr>
              <w:t xml:space="preserve"> and e</w:t>
            </w:r>
            <w:r w:rsidRPr="0054538E">
              <w:rPr>
                <w:rFonts w:ascii="Arial" w:eastAsia="Times New Roman" w:hAnsi="Arial" w:cs="Arial"/>
                <w:color w:val="000000"/>
                <w:sz w:val="20"/>
                <w:szCs w:val="20"/>
                <w:lang w:eastAsia="en-CA"/>
              </w:rPr>
              <w:t xml:space="preserve">valuations and can be easily </w:t>
            </w:r>
            <w:r>
              <w:rPr>
                <w:rFonts w:ascii="Arial" w:eastAsia="Times New Roman" w:hAnsi="Arial" w:cs="Arial"/>
                <w:color w:val="000000"/>
                <w:sz w:val="20"/>
                <w:szCs w:val="20"/>
                <w:lang w:eastAsia="en-CA"/>
              </w:rPr>
              <w:t>identified for</w:t>
            </w:r>
            <w:r w:rsidRPr="0054538E">
              <w:rPr>
                <w:rFonts w:ascii="Arial" w:eastAsia="Times New Roman" w:hAnsi="Arial" w:cs="Arial"/>
                <w:color w:val="000000"/>
                <w:sz w:val="20"/>
                <w:szCs w:val="20"/>
                <w:lang w:eastAsia="en-CA"/>
              </w:rPr>
              <w:t xml:space="preserve"> R</w:t>
            </w:r>
            <w:r>
              <w:rPr>
                <w:rFonts w:ascii="Arial" w:eastAsia="Times New Roman" w:hAnsi="Arial" w:cs="Arial"/>
                <w:color w:val="000000"/>
                <w:sz w:val="20"/>
                <w:szCs w:val="20"/>
                <w:lang w:eastAsia="en-CA"/>
              </w:rPr>
              <w:t xml:space="preserve">esults </w:t>
            </w:r>
            <w:r w:rsidRPr="0054538E">
              <w:rPr>
                <w:rFonts w:ascii="Arial" w:eastAsia="Times New Roman" w:hAnsi="Arial" w:cs="Arial"/>
                <w:color w:val="000000"/>
                <w:sz w:val="20"/>
                <w:szCs w:val="20"/>
                <w:lang w:eastAsia="en-CA"/>
              </w:rPr>
              <w:t>F</w:t>
            </w:r>
            <w:r>
              <w:rPr>
                <w:rFonts w:ascii="Arial" w:eastAsia="Times New Roman" w:hAnsi="Arial" w:cs="Arial"/>
                <w:color w:val="000000"/>
                <w:sz w:val="20"/>
                <w:szCs w:val="20"/>
                <w:lang w:eastAsia="en-CA"/>
              </w:rPr>
              <w:t>ramework</w:t>
            </w:r>
            <w:r w:rsidRPr="0054538E">
              <w:rPr>
                <w:rFonts w:ascii="Arial" w:eastAsia="Times New Roman" w:hAnsi="Arial" w:cs="Arial"/>
                <w:color w:val="000000"/>
                <w:sz w:val="20"/>
                <w:szCs w:val="20"/>
                <w:lang w:eastAsia="en-CA"/>
              </w:rPr>
              <w:t xml:space="preserve"> analysis/coding</w:t>
            </w:r>
            <w:r>
              <w:rPr>
                <w:rFonts w:ascii="Arial" w:eastAsia="Times New Roman" w:hAnsi="Arial" w:cs="Arial"/>
                <w:color w:val="000000"/>
                <w:sz w:val="20"/>
                <w:szCs w:val="20"/>
                <w:lang w:eastAsia="en-CA"/>
              </w:rPr>
              <w:t xml:space="preserve"> by the MERL Consultant and substantive in independent evaluations. </w:t>
            </w:r>
          </w:p>
        </w:tc>
      </w:tr>
      <w:tr w:rsidR="00C14DEC" w:rsidRPr="0054538E" w14:paraId="4872BCEB" w14:textId="66C23C48" w:rsidTr="005207A9">
        <w:trPr>
          <w:trHeight w:val="583"/>
        </w:trPr>
        <w:tc>
          <w:tcPr>
            <w:tcW w:w="2241" w:type="dxa"/>
            <w:shd w:val="clear" w:color="auto" w:fill="auto"/>
            <w:noWrap/>
            <w:vAlign w:val="bottom"/>
            <w:hideMark/>
          </w:tcPr>
          <w:p w14:paraId="6C1EBD68" w14:textId="77777777"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Components</w:t>
            </w:r>
          </w:p>
        </w:tc>
        <w:tc>
          <w:tcPr>
            <w:tcW w:w="4417" w:type="dxa"/>
            <w:shd w:val="clear" w:color="auto" w:fill="auto"/>
            <w:vAlign w:val="bottom"/>
            <w:hideMark/>
          </w:tcPr>
          <w:p w14:paraId="72552B80" w14:textId="76DAEE7F"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 xml:space="preserve">Components </w:t>
            </w:r>
            <w:r>
              <w:rPr>
                <w:rFonts w:ascii="Arial" w:eastAsia="Times New Roman" w:hAnsi="Arial" w:cs="Arial"/>
                <w:color w:val="000000"/>
                <w:sz w:val="20"/>
                <w:szCs w:val="20"/>
                <w:lang w:eastAsia="en-CA"/>
              </w:rPr>
              <w:t xml:space="preserve">referenced in </w:t>
            </w:r>
            <w:r w:rsidRPr="0054538E">
              <w:rPr>
                <w:rFonts w:ascii="Arial" w:eastAsia="Times New Roman" w:hAnsi="Arial" w:cs="Arial"/>
                <w:color w:val="000000"/>
                <w:sz w:val="20"/>
                <w:szCs w:val="20"/>
                <w:lang w:eastAsia="en-CA"/>
              </w:rPr>
              <w:t>in some projects</w:t>
            </w:r>
            <w:r>
              <w:rPr>
                <w:rFonts w:ascii="Arial" w:eastAsia="Times New Roman" w:hAnsi="Arial" w:cs="Arial"/>
                <w:color w:val="000000"/>
                <w:sz w:val="20"/>
                <w:szCs w:val="20"/>
                <w:lang w:eastAsia="en-CA"/>
              </w:rPr>
              <w:t>’ core documentation</w:t>
            </w:r>
            <w:r w:rsidRPr="0054538E">
              <w:rPr>
                <w:rFonts w:ascii="Arial" w:eastAsia="Times New Roman" w:hAnsi="Arial" w:cs="Arial"/>
                <w:color w:val="000000"/>
                <w:sz w:val="20"/>
                <w:szCs w:val="20"/>
                <w:lang w:eastAsia="en-CA"/>
              </w:rPr>
              <w:t xml:space="preserve"> are different to the standard GPSA components 1-3 </w:t>
            </w:r>
            <w:r>
              <w:rPr>
                <w:rFonts w:ascii="Arial" w:eastAsia="Times New Roman" w:hAnsi="Arial" w:cs="Arial"/>
                <w:color w:val="000000"/>
                <w:sz w:val="20"/>
                <w:szCs w:val="20"/>
                <w:lang w:eastAsia="en-CA"/>
              </w:rPr>
              <w:t xml:space="preserve">(also reflecting the GPSA Theory of Action) </w:t>
            </w:r>
            <w:r w:rsidRPr="0054538E">
              <w:rPr>
                <w:rFonts w:ascii="Arial" w:eastAsia="Times New Roman" w:hAnsi="Arial" w:cs="Arial"/>
                <w:color w:val="000000"/>
                <w:sz w:val="20"/>
                <w:szCs w:val="20"/>
                <w:lang w:eastAsia="en-CA"/>
              </w:rPr>
              <w:t>that are meant to</w:t>
            </w:r>
            <w:r>
              <w:rPr>
                <w:rFonts w:ascii="Arial" w:eastAsia="Times New Roman" w:hAnsi="Arial" w:cs="Arial"/>
                <w:color w:val="000000"/>
                <w:sz w:val="20"/>
                <w:szCs w:val="20"/>
                <w:lang w:eastAsia="en-CA"/>
              </w:rPr>
              <w:t xml:space="preserve"> </w:t>
            </w:r>
            <w:r w:rsidRPr="0054538E">
              <w:rPr>
                <w:rFonts w:ascii="Arial" w:eastAsia="Times New Roman" w:hAnsi="Arial" w:cs="Arial"/>
                <w:color w:val="000000"/>
                <w:sz w:val="20"/>
                <w:szCs w:val="20"/>
                <w:lang w:eastAsia="en-CA"/>
              </w:rPr>
              <w:t>be in the project paper, therefore it could be confusing to relate to components in this way if they are different than the GPSA's</w:t>
            </w:r>
            <w:r>
              <w:rPr>
                <w:rFonts w:ascii="Arial" w:eastAsia="Times New Roman" w:hAnsi="Arial" w:cs="Arial"/>
                <w:color w:val="000000"/>
                <w:sz w:val="20"/>
                <w:szCs w:val="20"/>
                <w:lang w:eastAsia="en-CA"/>
              </w:rPr>
              <w:t>.</w:t>
            </w:r>
          </w:p>
        </w:tc>
        <w:tc>
          <w:tcPr>
            <w:tcW w:w="3402" w:type="dxa"/>
          </w:tcPr>
          <w:p w14:paraId="5812357E" w14:textId="77777777" w:rsidR="0021382A" w:rsidRDefault="0021382A" w:rsidP="0021382A">
            <w:pPr>
              <w:spacing w:after="0" w:line="240" w:lineRule="auto"/>
              <w:rPr>
                <w:rFonts w:ascii="Arial" w:eastAsia="Times New Roman" w:hAnsi="Arial" w:cs="Arial"/>
                <w:color w:val="000000"/>
                <w:sz w:val="20"/>
                <w:szCs w:val="20"/>
                <w:lang w:eastAsia="en-CA"/>
              </w:rPr>
            </w:pPr>
          </w:p>
          <w:p w14:paraId="448F8DBE" w14:textId="0CED9838"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The TTL/GPSA should ensure that there is consistency of these components and prevention of confusion in the reference and documentation to project components in Project Papers (or equivalent) and other project documentation, including evaluations/ISRs/ICRs, </w:t>
            </w:r>
          </w:p>
        </w:tc>
      </w:tr>
      <w:tr w:rsidR="00C14DEC" w:rsidRPr="0054538E" w14:paraId="77FC1CBC" w14:textId="523D87F7" w:rsidTr="005207A9">
        <w:trPr>
          <w:trHeight w:val="583"/>
        </w:trPr>
        <w:tc>
          <w:tcPr>
            <w:tcW w:w="2241" w:type="dxa"/>
            <w:shd w:val="clear" w:color="auto" w:fill="auto"/>
            <w:noWrap/>
            <w:vAlign w:val="bottom"/>
            <w:hideMark/>
          </w:tcPr>
          <w:p w14:paraId="74C6611A" w14:textId="77777777"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Compacts</w:t>
            </w:r>
          </w:p>
        </w:tc>
        <w:tc>
          <w:tcPr>
            <w:tcW w:w="4417" w:type="dxa"/>
            <w:shd w:val="clear" w:color="auto" w:fill="auto"/>
            <w:vAlign w:val="bottom"/>
            <w:hideMark/>
          </w:tcPr>
          <w:p w14:paraId="571607BF" w14:textId="77777777" w:rsidR="0021382A" w:rsidRDefault="0021382A" w:rsidP="0021382A">
            <w:pPr>
              <w:spacing w:after="0" w:line="240" w:lineRule="auto"/>
              <w:rPr>
                <w:rFonts w:ascii="Arial" w:eastAsia="Times New Roman" w:hAnsi="Arial" w:cs="Arial"/>
                <w:color w:val="000000"/>
                <w:sz w:val="20"/>
                <w:szCs w:val="20"/>
                <w:lang w:eastAsia="en-CA"/>
              </w:rPr>
            </w:pPr>
          </w:p>
          <w:p w14:paraId="79882B90" w14:textId="7947EB2D"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The output indicator 1 is concerned with the number of fit-for-purpose stakeholders that meet regularly (compact) across the target sites of project implementation, including the national level. While the project documentation generally included several references to key stakeholder engagement which provided the basis for the coding in this exercise, it lacked the level of detail to assess this indicator to the </w:t>
            </w:r>
            <w:r>
              <w:rPr>
                <w:rFonts w:ascii="Arial" w:eastAsia="Times New Roman" w:hAnsi="Arial" w:cs="Arial"/>
                <w:color w:val="000000"/>
                <w:sz w:val="20"/>
                <w:szCs w:val="20"/>
                <w:lang w:eastAsia="en-CA"/>
              </w:rPr>
              <w:lastRenderedPageBreak/>
              <w:t>intended degree of the MERL Guide and GPSA Results Framework indicator and to enable accurate aggregation.</w:t>
            </w:r>
          </w:p>
        </w:tc>
        <w:tc>
          <w:tcPr>
            <w:tcW w:w="3402" w:type="dxa"/>
          </w:tcPr>
          <w:p w14:paraId="3727812E" w14:textId="77777777" w:rsidR="0021382A" w:rsidRDefault="0021382A" w:rsidP="0021382A">
            <w:pPr>
              <w:spacing w:after="0" w:line="240" w:lineRule="auto"/>
              <w:rPr>
                <w:rFonts w:ascii="Arial" w:eastAsia="Times New Roman" w:hAnsi="Arial" w:cs="Arial"/>
                <w:color w:val="000000"/>
                <w:sz w:val="20"/>
                <w:szCs w:val="20"/>
                <w:lang w:eastAsia="en-CA"/>
              </w:rPr>
            </w:pPr>
          </w:p>
          <w:p w14:paraId="1D95F5AF" w14:textId="37AB0690"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For</w:t>
            </w:r>
            <w:r>
              <w:rPr>
                <w:rFonts w:ascii="Arial" w:eastAsia="Times New Roman" w:hAnsi="Arial" w:cs="Arial"/>
                <w:color w:val="000000"/>
                <w:sz w:val="20"/>
                <w:szCs w:val="20"/>
                <w:lang w:eastAsia="en-CA"/>
              </w:rPr>
              <w:t xml:space="preserve"> the depth of analysis and coding of </w:t>
            </w:r>
            <w:r w:rsidRPr="0054538E">
              <w:rPr>
                <w:rFonts w:ascii="Arial" w:eastAsia="Times New Roman" w:hAnsi="Arial" w:cs="Arial"/>
                <w:color w:val="000000"/>
                <w:sz w:val="20"/>
                <w:szCs w:val="20"/>
                <w:lang w:eastAsia="en-CA"/>
              </w:rPr>
              <w:t xml:space="preserve">output 1 </w:t>
            </w:r>
            <w:r>
              <w:rPr>
                <w:rFonts w:ascii="Arial" w:eastAsia="Times New Roman" w:hAnsi="Arial" w:cs="Arial"/>
                <w:color w:val="000000"/>
                <w:sz w:val="20"/>
                <w:szCs w:val="20"/>
                <w:lang w:eastAsia="en-CA"/>
              </w:rPr>
              <w:t xml:space="preserve">and to enable overall portfolio </w:t>
            </w:r>
            <w:r w:rsidRPr="0054538E">
              <w:rPr>
                <w:rFonts w:ascii="Arial" w:eastAsia="Times New Roman" w:hAnsi="Arial" w:cs="Arial"/>
                <w:color w:val="000000"/>
                <w:sz w:val="20"/>
                <w:szCs w:val="20"/>
                <w:lang w:eastAsia="en-CA"/>
              </w:rPr>
              <w:t xml:space="preserve">aggregation, </w:t>
            </w:r>
            <w:r>
              <w:rPr>
                <w:rFonts w:ascii="Arial" w:eastAsia="Times New Roman" w:hAnsi="Arial" w:cs="Arial"/>
                <w:color w:val="000000"/>
                <w:sz w:val="20"/>
                <w:szCs w:val="20"/>
                <w:lang w:eastAsia="en-CA"/>
              </w:rPr>
              <w:t>each project should include a list</w:t>
            </w:r>
            <w:r w:rsidRPr="0054538E">
              <w:rPr>
                <w:rFonts w:ascii="Arial" w:eastAsia="Times New Roman" w:hAnsi="Arial" w:cs="Arial"/>
                <w:color w:val="000000"/>
                <w:sz w:val="20"/>
                <w:szCs w:val="20"/>
                <w:lang w:eastAsia="en-CA"/>
              </w:rPr>
              <w:t xml:space="preserve"> of each compact at each </w:t>
            </w:r>
            <w:r>
              <w:rPr>
                <w:rFonts w:ascii="Arial" w:eastAsia="Times New Roman" w:hAnsi="Arial" w:cs="Arial"/>
                <w:color w:val="000000"/>
                <w:sz w:val="20"/>
                <w:szCs w:val="20"/>
                <w:lang w:eastAsia="en-CA"/>
              </w:rPr>
              <w:t xml:space="preserve">target </w:t>
            </w:r>
            <w:r w:rsidRPr="0054538E">
              <w:rPr>
                <w:rFonts w:ascii="Arial" w:eastAsia="Times New Roman" w:hAnsi="Arial" w:cs="Arial"/>
                <w:color w:val="000000"/>
                <w:sz w:val="20"/>
                <w:szCs w:val="20"/>
                <w:lang w:eastAsia="en-CA"/>
              </w:rPr>
              <w:t>level/site with members and meetings</w:t>
            </w:r>
            <w:r>
              <w:rPr>
                <w:rFonts w:ascii="Arial" w:eastAsia="Times New Roman" w:hAnsi="Arial" w:cs="Arial"/>
                <w:color w:val="000000"/>
                <w:sz w:val="20"/>
                <w:szCs w:val="20"/>
                <w:lang w:eastAsia="en-CA"/>
              </w:rPr>
              <w:t xml:space="preserve">. </w:t>
            </w:r>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Ensuring</w:t>
            </w:r>
            <w:r w:rsidRPr="0054538E">
              <w:rPr>
                <w:rFonts w:ascii="Arial" w:eastAsia="Times New Roman" w:hAnsi="Arial" w:cs="Arial"/>
                <w:color w:val="000000"/>
                <w:sz w:val="20"/>
                <w:szCs w:val="20"/>
                <w:lang w:eastAsia="en-CA"/>
              </w:rPr>
              <w:t xml:space="preserve"> tha</w:t>
            </w:r>
            <w:r>
              <w:rPr>
                <w:rFonts w:ascii="Arial" w:eastAsia="Times New Roman" w:hAnsi="Arial" w:cs="Arial"/>
                <w:color w:val="000000"/>
                <w:sz w:val="20"/>
                <w:szCs w:val="20"/>
                <w:lang w:eastAsia="en-CA"/>
              </w:rPr>
              <w:t xml:space="preserve">t the final </w:t>
            </w:r>
            <w:r w:rsidRPr="0054538E">
              <w:rPr>
                <w:rFonts w:ascii="Arial" w:eastAsia="Times New Roman" w:hAnsi="Arial" w:cs="Arial"/>
                <w:color w:val="000000"/>
                <w:sz w:val="20"/>
                <w:szCs w:val="20"/>
                <w:lang w:eastAsia="en-CA"/>
              </w:rPr>
              <w:t xml:space="preserve">list included in </w:t>
            </w:r>
            <w:r>
              <w:rPr>
                <w:rFonts w:ascii="Arial" w:eastAsia="Times New Roman" w:hAnsi="Arial" w:cs="Arial"/>
                <w:color w:val="000000"/>
                <w:sz w:val="20"/>
                <w:szCs w:val="20"/>
                <w:lang w:eastAsia="en-CA"/>
              </w:rPr>
              <w:t>key grant partner documentation</w:t>
            </w:r>
            <w:r w:rsidRPr="0054538E">
              <w:rPr>
                <w:rFonts w:ascii="Arial" w:eastAsia="Times New Roman" w:hAnsi="Arial" w:cs="Arial"/>
                <w:color w:val="000000"/>
                <w:sz w:val="20"/>
                <w:szCs w:val="20"/>
                <w:lang w:eastAsia="en-CA"/>
              </w:rPr>
              <w:t>, esp</w:t>
            </w:r>
            <w:r>
              <w:rPr>
                <w:rFonts w:ascii="Arial" w:eastAsia="Times New Roman" w:hAnsi="Arial" w:cs="Arial"/>
                <w:color w:val="000000"/>
                <w:sz w:val="20"/>
                <w:szCs w:val="20"/>
                <w:lang w:eastAsia="en-CA"/>
              </w:rPr>
              <w:t>ecially in the</w:t>
            </w:r>
            <w:r w:rsidRPr="0054538E">
              <w:rPr>
                <w:rFonts w:ascii="Arial" w:eastAsia="Times New Roman" w:hAnsi="Arial" w:cs="Arial"/>
                <w:color w:val="000000"/>
                <w:sz w:val="20"/>
                <w:szCs w:val="20"/>
                <w:lang w:eastAsia="en-CA"/>
              </w:rPr>
              <w:t xml:space="preserve"> final evaluatio</w:t>
            </w:r>
            <w:r>
              <w:rPr>
                <w:rFonts w:ascii="Arial" w:eastAsia="Times New Roman" w:hAnsi="Arial" w:cs="Arial"/>
                <w:color w:val="000000"/>
                <w:sz w:val="20"/>
                <w:szCs w:val="20"/>
                <w:lang w:eastAsia="en-CA"/>
              </w:rPr>
              <w:t>n</w:t>
            </w:r>
            <w:r w:rsidRPr="0054538E">
              <w:rPr>
                <w:rFonts w:ascii="Arial" w:eastAsia="Times New Roman" w:hAnsi="Arial" w:cs="Arial"/>
                <w:color w:val="000000"/>
                <w:sz w:val="20"/>
                <w:szCs w:val="20"/>
                <w:lang w:eastAsia="en-CA"/>
              </w:rPr>
              <w:t xml:space="preserve"> </w:t>
            </w:r>
            <w:r w:rsidRPr="0054538E">
              <w:rPr>
                <w:rFonts w:ascii="Arial" w:eastAsia="Times New Roman" w:hAnsi="Arial" w:cs="Arial"/>
                <w:color w:val="000000"/>
                <w:sz w:val="20"/>
                <w:szCs w:val="20"/>
                <w:lang w:eastAsia="en-CA"/>
              </w:rPr>
              <w:lastRenderedPageBreak/>
              <w:t>and ICRs</w:t>
            </w:r>
            <w:r>
              <w:rPr>
                <w:rFonts w:ascii="Arial" w:eastAsia="Times New Roman" w:hAnsi="Arial" w:cs="Arial"/>
                <w:color w:val="000000"/>
                <w:sz w:val="20"/>
                <w:szCs w:val="20"/>
                <w:lang w:eastAsia="en-CA"/>
              </w:rPr>
              <w:t xml:space="preserve"> Results Framework</w:t>
            </w:r>
            <w:r w:rsidRPr="0054538E">
              <w:rPr>
                <w:rFonts w:ascii="Arial" w:eastAsia="Times New Roman" w:hAnsi="Arial" w:cs="Arial"/>
                <w:color w:val="000000"/>
                <w:sz w:val="20"/>
                <w:szCs w:val="20"/>
                <w:lang w:eastAsia="en-CA"/>
              </w:rPr>
              <w:t xml:space="preserve"> even if as an annex.</w:t>
            </w:r>
          </w:p>
        </w:tc>
      </w:tr>
      <w:tr w:rsidR="00C14DEC" w:rsidRPr="0054538E" w14:paraId="5FCF694C" w14:textId="1CFF0415" w:rsidTr="005207A9">
        <w:trPr>
          <w:trHeight w:val="875"/>
        </w:trPr>
        <w:tc>
          <w:tcPr>
            <w:tcW w:w="2241" w:type="dxa"/>
            <w:shd w:val="clear" w:color="auto" w:fill="auto"/>
            <w:noWrap/>
            <w:vAlign w:val="bottom"/>
            <w:hideMark/>
          </w:tcPr>
          <w:p w14:paraId="1DE74804" w14:textId="45E5BD5D"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lastRenderedPageBreak/>
              <w:t xml:space="preserve">Narrative details in </w:t>
            </w:r>
            <w:r>
              <w:rPr>
                <w:rFonts w:ascii="Arial" w:eastAsia="Times New Roman" w:hAnsi="Arial" w:cs="Arial"/>
                <w:color w:val="000000"/>
                <w:sz w:val="20"/>
                <w:szCs w:val="20"/>
                <w:lang w:eastAsia="en-CA"/>
              </w:rPr>
              <w:t xml:space="preserve">ICR </w:t>
            </w:r>
            <w:r w:rsidRPr="0054538E">
              <w:rPr>
                <w:rFonts w:ascii="Arial" w:eastAsia="Times New Roman" w:hAnsi="Arial" w:cs="Arial"/>
                <w:color w:val="000000"/>
                <w:sz w:val="20"/>
                <w:szCs w:val="20"/>
                <w:lang w:eastAsia="en-CA"/>
              </w:rPr>
              <w:t>R</w:t>
            </w:r>
            <w:r>
              <w:rPr>
                <w:rFonts w:ascii="Arial" w:eastAsia="Times New Roman" w:hAnsi="Arial" w:cs="Arial"/>
                <w:color w:val="000000"/>
                <w:sz w:val="20"/>
                <w:szCs w:val="20"/>
                <w:lang w:eastAsia="en-CA"/>
              </w:rPr>
              <w:t xml:space="preserve">esults </w:t>
            </w:r>
            <w:r w:rsidRPr="0054538E">
              <w:rPr>
                <w:rFonts w:ascii="Arial" w:eastAsia="Times New Roman" w:hAnsi="Arial" w:cs="Arial"/>
                <w:color w:val="000000"/>
                <w:sz w:val="20"/>
                <w:szCs w:val="20"/>
                <w:lang w:eastAsia="en-CA"/>
              </w:rPr>
              <w:t>F</w:t>
            </w:r>
            <w:r>
              <w:rPr>
                <w:rFonts w:ascii="Arial" w:eastAsia="Times New Roman" w:hAnsi="Arial" w:cs="Arial"/>
                <w:color w:val="000000"/>
                <w:sz w:val="20"/>
                <w:szCs w:val="20"/>
                <w:lang w:eastAsia="en-CA"/>
              </w:rPr>
              <w:t>rameworks</w:t>
            </w:r>
          </w:p>
        </w:tc>
        <w:tc>
          <w:tcPr>
            <w:tcW w:w="4417" w:type="dxa"/>
            <w:shd w:val="clear" w:color="auto" w:fill="auto"/>
            <w:vAlign w:val="bottom"/>
            <w:hideMark/>
          </w:tcPr>
          <w:p w14:paraId="4CC294B3" w14:textId="0A4D752D" w:rsidR="0021382A" w:rsidRPr="0054538E" w:rsidRDefault="0021382A" w:rsidP="00C14DEC">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In several cases, the</w:t>
            </w:r>
            <w:r w:rsidRPr="0054538E">
              <w:rPr>
                <w:rFonts w:ascii="Arial" w:eastAsia="Times New Roman" w:hAnsi="Arial" w:cs="Arial"/>
                <w:color w:val="000000"/>
                <w:sz w:val="20"/>
                <w:szCs w:val="20"/>
                <w:lang w:eastAsia="en-CA"/>
              </w:rPr>
              <w:t xml:space="preserve"> qualitative info</w:t>
            </w:r>
            <w:r>
              <w:rPr>
                <w:rFonts w:ascii="Arial" w:eastAsia="Times New Roman" w:hAnsi="Arial" w:cs="Arial"/>
                <w:color w:val="000000"/>
                <w:sz w:val="20"/>
                <w:szCs w:val="20"/>
                <w:lang w:eastAsia="en-CA"/>
              </w:rPr>
              <w:t xml:space="preserve">rmation that is meant </w:t>
            </w:r>
            <w:r w:rsidRPr="0054538E">
              <w:rPr>
                <w:rFonts w:ascii="Arial" w:eastAsia="Times New Roman" w:hAnsi="Arial" w:cs="Arial"/>
                <w:color w:val="000000"/>
                <w:sz w:val="20"/>
                <w:szCs w:val="20"/>
                <w:lang w:eastAsia="en-CA"/>
              </w:rPr>
              <w:t>to accompany</w:t>
            </w:r>
            <w:r>
              <w:rPr>
                <w:rFonts w:ascii="Arial" w:eastAsia="Times New Roman" w:hAnsi="Arial" w:cs="Arial"/>
                <w:color w:val="000000"/>
                <w:sz w:val="20"/>
                <w:szCs w:val="20"/>
                <w:lang w:eastAsia="en-CA"/>
              </w:rPr>
              <w:t xml:space="preserve"> the Results Framework</w:t>
            </w:r>
            <w:r w:rsidRPr="0054538E">
              <w:rPr>
                <w:rFonts w:ascii="Arial" w:eastAsia="Times New Roman" w:hAnsi="Arial" w:cs="Arial"/>
                <w:color w:val="000000"/>
                <w:sz w:val="20"/>
                <w:szCs w:val="20"/>
                <w:lang w:eastAsia="en-CA"/>
              </w:rPr>
              <w:t xml:space="preserve"> scores </w:t>
            </w:r>
            <w:r>
              <w:rPr>
                <w:rFonts w:ascii="Arial" w:eastAsia="Times New Roman" w:hAnsi="Arial" w:cs="Arial"/>
                <w:color w:val="000000"/>
                <w:sz w:val="20"/>
                <w:szCs w:val="20"/>
                <w:lang w:eastAsia="en-CA"/>
              </w:rPr>
              <w:t>was lacking and highly</w:t>
            </w:r>
            <w:r w:rsidRPr="0054538E">
              <w:rPr>
                <w:rFonts w:ascii="Arial" w:eastAsia="Times New Roman" w:hAnsi="Arial" w:cs="Arial"/>
                <w:color w:val="000000"/>
                <w:sz w:val="20"/>
                <w:szCs w:val="20"/>
                <w:lang w:eastAsia="en-CA"/>
              </w:rPr>
              <w:t xml:space="preserve"> inconsistent</w:t>
            </w:r>
            <w:r>
              <w:rPr>
                <w:rFonts w:ascii="Arial" w:eastAsia="Times New Roman" w:hAnsi="Arial" w:cs="Arial"/>
                <w:color w:val="000000"/>
                <w:sz w:val="20"/>
                <w:szCs w:val="20"/>
                <w:lang w:eastAsia="en-CA"/>
              </w:rPr>
              <w:t xml:space="preserve"> across the sample dataset of the Results Frameworks of project ICRs.</w:t>
            </w:r>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Stating</w:t>
            </w:r>
            <w:r w:rsidRPr="0054538E">
              <w:rPr>
                <w:rFonts w:ascii="Arial" w:eastAsia="Times New Roman" w:hAnsi="Arial" w:cs="Arial"/>
                <w:color w:val="000000"/>
                <w:sz w:val="20"/>
                <w:szCs w:val="20"/>
                <w:lang w:eastAsia="en-CA"/>
              </w:rPr>
              <w:t xml:space="preserve"> just a y</w:t>
            </w:r>
            <w:r>
              <w:rPr>
                <w:rFonts w:ascii="Arial" w:eastAsia="Times New Roman" w:hAnsi="Arial" w:cs="Arial"/>
                <w:color w:val="000000"/>
                <w:sz w:val="20"/>
                <w:szCs w:val="20"/>
                <w:lang w:eastAsia="en-CA"/>
              </w:rPr>
              <w:t>es/</w:t>
            </w:r>
            <w:r w:rsidRPr="0054538E">
              <w:rPr>
                <w:rFonts w:ascii="Arial" w:eastAsia="Times New Roman" w:hAnsi="Arial" w:cs="Arial"/>
                <w:color w:val="000000"/>
                <w:sz w:val="20"/>
                <w:szCs w:val="20"/>
                <w:lang w:eastAsia="en-CA"/>
              </w:rPr>
              <w:t>n</w:t>
            </w:r>
            <w:r>
              <w:rPr>
                <w:rFonts w:ascii="Arial" w:eastAsia="Times New Roman" w:hAnsi="Arial" w:cs="Arial"/>
                <w:color w:val="000000"/>
                <w:sz w:val="20"/>
                <w:szCs w:val="20"/>
                <w:lang w:eastAsia="en-CA"/>
              </w:rPr>
              <w:t>o</w:t>
            </w:r>
            <w:r w:rsidRPr="0054538E">
              <w:rPr>
                <w:rFonts w:ascii="Arial" w:eastAsia="Times New Roman" w:hAnsi="Arial" w:cs="Arial"/>
                <w:color w:val="000000"/>
                <w:sz w:val="20"/>
                <w:szCs w:val="20"/>
                <w:lang w:eastAsia="en-CA"/>
              </w:rPr>
              <w:t xml:space="preserve"> or </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achieved</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 xml:space="preserve"> without the narrative explanation is a barrier to accurate coding and aggregation. </w:t>
            </w:r>
          </w:p>
        </w:tc>
        <w:tc>
          <w:tcPr>
            <w:tcW w:w="3402" w:type="dxa"/>
          </w:tcPr>
          <w:p w14:paraId="27270E4D" w14:textId="77777777" w:rsidR="0021382A" w:rsidRDefault="0021382A" w:rsidP="0021382A">
            <w:pPr>
              <w:spacing w:after="0" w:line="240" w:lineRule="auto"/>
              <w:rPr>
                <w:rFonts w:ascii="Arial" w:eastAsia="Times New Roman" w:hAnsi="Arial" w:cs="Arial"/>
                <w:color w:val="000000"/>
                <w:sz w:val="20"/>
                <w:szCs w:val="20"/>
                <w:lang w:eastAsia="en-CA"/>
              </w:rPr>
            </w:pPr>
          </w:p>
          <w:p w14:paraId="7E4C545F" w14:textId="397DB8CB"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The </w:t>
            </w:r>
            <w:r w:rsidRPr="0054538E">
              <w:rPr>
                <w:rFonts w:ascii="Arial" w:eastAsia="Times New Roman" w:hAnsi="Arial" w:cs="Arial"/>
                <w:color w:val="000000"/>
                <w:sz w:val="20"/>
                <w:szCs w:val="20"/>
                <w:lang w:eastAsia="en-CA"/>
              </w:rPr>
              <w:t>TTL/GPSA should ensure that the R</w:t>
            </w:r>
            <w:r>
              <w:rPr>
                <w:rFonts w:ascii="Arial" w:eastAsia="Times New Roman" w:hAnsi="Arial" w:cs="Arial"/>
                <w:color w:val="000000"/>
                <w:sz w:val="20"/>
                <w:szCs w:val="20"/>
                <w:lang w:eastAsia="en-CA"/>
              </w:rPr>
              <w:t xml:space="preserve">esults </w:t>
            </w:r>
            <w:r w:rsidRPr="0054538E">
              <w:rPr>
                <w:rFonts w:ascii="Arial" w:eastAsia="Times New Roman" w:hAnsi="Arial" w:cs="Arial"/>
                <w:color w:val="000000"/>
                <w:sz w:val="20"/>
                <w:szCs w:val="20"/>
                <w:lang w:eastAsia="en-CA"/>
              </w:rPr>
              <w:t>F</w:t>
            </w:r>
            <w:r>
              <w:rPr>
                <w:rFonts w:ascii="Arial" w:eastAsia="Times New Roman" w:hAnsi="Arial" w:cs="Arial"/>
                <w:color w:val="000000"/>
                <w:sz w:val="20"/>
                <w:szCs w:val="20"/>
                <w:lang w:eastAsia="en-CA"/>
              </w:rPr>
              <w:t>ramework</w:t>
            </w:r>
            <w:r w:rsidRPr="0054538E">
              <w:rPr>
                <w:rFonts w:ascii="Arial" w:eastAsia="Times New Roman" w:hAnsi="Arial" w:cs="Arial"/>
                <w:color w:val="000000"/>
                <w:sz w:val="20"/>
                <w:szCs w:val="20"/>
                <w:lang w:eastAsia="en-CA"/>
              </w:rPr>
              <w:t xml:space="preserve"> indicators scores each year and</w:t>
            </w:r>
            <w:r>
              <w:rPr>
                <w:rFonts w:ascii="Arial" w:eastAsia="Times New Roman" w:hAnsi="Arial" w:cs="Arial"/>
                <w:color w:val="000000"/>
                <w:sz w:val="20"/>
                <w:szCs w:val="20"/>
                <w:lang w:eastAsia="en-CA"/>
              </w:rPr>
              <w:t xml:space="preserve"> used</w:t>
            </w:r>
            <w:r w:rsidRPr="0054538E">
              <w:rPr>
                <w:rFonts w:ascii="Arial" w:eastAsia="Times New Roman" w:hAnsi="Arial" w:cs="Arial"/>
                <w:color w:val="000000"/>
                <w:sz w:val="20"/>
                <w:szCs w:val="20"/>
                <w:lang w:eastAsia="en-CA"/>
              </w:rPr>
              <w:t xml:space="preserve"> for the ICR </w:t>
            </w:r>
            <w:r>
              <w:rPr>
                <w:rFonts w:ascii="Arial" w:eastAsia="Times New Roman" w:hAnsi="Arial" w:cs="Arial"/>
                <w:color w:val="000000"/>
                <w:sz w:val="20"/>
                <w:szCs w:val="20"/>
                <w:lang w:eastAsia="en-CA"/>
              </w:rPr>
              <w:t xml:space="preserve">(provided by the MERL Consultant/grant partner) </w:t>
            </w:r>
            <w:r w:rsidRPr="0054538E">
              <w:rPr>
                <w:rFonts w:ascii="Arial" w:eastAsia="Times New Roman" w:hAnsi="Arial" w:cs="Arial"/>
                <w:color w:val="000000"/>
                <w:sz w:val="20"/>
                <w:szCs w:val="20"/>
                <w:lang w:eastAsia="en-CA"/>
              </w:rPr>
              <w:t xml:space="preserve">are </w:t>
            </w:r>
            <w:r>
              <w:rPr>
                <w:rFonts w:ascii="Arial" w:eastAsia="Times New Roman" w:hAnsi="Arial" w:cs="Arial"/>
                <w:color w:val="000000"/>
                <w:sz w:val="20"/>
                <w:szCs w:val="20"/>
                <w:lang w:eastAsia="en-CA"/>
              </w:rPr>
              <w:t xml:space="preserve">all </w:t>
            </w:r>
            <w:r w:rsidRPr="0054538E">
              <w:rPr>
                <w:rFonts w:ascii="Arial" w:eastAsia="Times New Roman" w:hAnsi="Arial" w:cs="Arial"/>
                <w:color w:val="000000"/>
                <w:sz w:val="20"/>
                <w:szCs w:val="20"/>
                <w:lang w:eastAsia="en-CA"/>
              </w:rPr>
              <w:t xml:space="preserve">accompanied by a </w:t>
            </w:r>
            <w:r>
              <w:rPr>
                <w:rFonts w:ascii="Arial" w:eastAsia="Times New Roman" w:hAnsi="Arial" w:cs="Arial"/>
                <w:color w:val="000000"/>
                <w:sz w:val="20"/>
                <w:szCs w:val="20"/>
                <w:lang w:eastAsia="en-CA"/>
              </w:rPr>
              <w:t xml:space="preserve">comprehensive </w:t>
            </w:r>
            <w:r w:rsidRPr="0054538E">
              <w:rPr>
                <w:rFonts w:ascii="Arial" w:eastAsia="Times New Roman" w:hAnsi="Arial" w:cs="Arial"/>
                <w:color w:val="000000"/>
                <w:sz w:val="20"/>
                <w:szCs w:val="20"/>
                <w:lang w:eastAsia="en-CA"/>
              </w:rPr>
              <w:t>narrative description</w:t>
            </w:r>
            <w:r>
              <w:rPr>
                <w:rFonts w:ascii="Arial" w:eastAsia="Times New Roman" w:hAnsi="Arial" w:cs="Arial"/>
                <w:color w:val="000000"/>
                <w:sz w:val="20"/>
                <w:szCs w:val="20"/>
                <w:lang w:eastAsia="en-CA"/>
              </w:rPr>
              <w:t xml:space="preserve"> with relevant qualitative details before completing/approving a project ICR.</w:t>
            </w:r>
          </w:p>
        </w:tc>
      </w:tr>
      <w:tr w:rsidR="00C14DEC" w:rsidRPr="0054538E" w14:paraId="0EEF9E54" w14:textId="7B1618AA" w:rsidTr="005207A9">
        <w:trPr>
          <w:trHeight w:val="583"/>
        </w:trPr>
        <w:tc>
          <w:tcPr>
            <w:tcW w:w="2241" w:type="dxa"/>
            <w:shd w:val="clear" w:color="auto" w:fill="auto"/>
            <w:noWrap/>
            <w:vAlign w:val="bottom"/>
            <w:hideMark/>
          </w:tcPr>
          <w:p w14:paraId="0C63CDAD" w14:textId="77777777"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ICRs</w:t>
            </w:r>
          </w:p>
        </w:tc>
        <w:tc>
          <w:tcPr>
            <w:tcW w:w="4417" w:type="dxa"/>
            <w:shd w:val="clear" w:color="auto" w:fill="auto"/>
            <w:vAlign w:val="bottom"/>
            <w:hideMark/>
          </w:tcPr>
          <w:p w14:paraId="502EF933" w14:textId="65438317" w:rsidR="0021382A" w:rsidRDefault="0021382A" w:rsidP="00C14DEC">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Upon the review of ICRs in the project s</w:t>
            </w:r>
          </w:p>
          <w:p w14:paraId="6BD614FA" w14:textId="3C422269" w:rsidR="0021382A" w:rsidRPr="0054538E" w:rsidRDefault="0021382A" w:rsidP="00C14DEC">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ample, there were some that were</w:t>
            </w:r>
            <w:r w:rsidRPr="0054538E">
              <w:rPr>
                <w:rFonts w:ascii="Arial" w:eastAsia="Times New Roman" w:hAnsi="Arial" w:cs="Arial"/>
                <w:color w:val="000000"/>
                <w:sz w:val="20"/>
                <w:szCs w:val="20"/>
                <w:lang w:eastAsia="en-CA"/>
              </w:rPr>
              <w:t xml:space="preserve"> incomplete </w:t>
            </w:r>
            <w:r>
              <w:rPr>
                <w:rFonts w:ascii="Arial" w:eastAsia="Times New Roman" w:hAnsi="Arial" w:cs="Arial"/>
                <w:color w:val="000000"/>
                <w:sz w:val="20"/>
                <w:szCs w:val="20"/>
                <w:lang w:eastAsia="en-CA"/>
              </w:rPr>
              <w:t>and therefore did not provide the information that would be necessary and expected to support the project coding of the operational Results Framework indicators.</w:t>
            </w:r>
          </w:p>
        </w:tc>
        <w:tc>
          <w:tcPr>
            <w:tcW w:w="3402" w:type="dxa"/>
          </w:tcPr>
          <w:p w14:paraId="53930FDF" w14:textId="77777777" w:rsidR="0021382A" w:rsidRDefault="0021382A" w:rsidP="0021382A">
            <w:pPr>
              <w:spacing w:after="0" w:line="240" w:lineRule="auto"/>
              <w:rPr>
                <w:rFonts w:ascii="Arial" w:eastAsia="Times New Roman" w:hAnsi="Arial" w:cs="Arial"/>
                <w:color w:val="000000"/>
                <w:sz w:val="20"/>
                <w:szCs w:val="20"/>
                <w:lang w:eastAsia="en-CA"/>
              </w:rPr>
            </w:pPr>
          </w:p>
          <w:p w14:paraId="19BD236D" w14:textId="6B128B3F"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The ICRs are a key piece of documentation for GPSA projects and the assessment of performance against the operational Results Framework indicators at the project level and aggregation of the GPSA Results Framework at portfolio level</w:t>
            </w:r>
            <w:r w:rsidRPr="0054538E">
              <w:rPr>
                <w:rFonts w:ascii="Arial" w:eastAsia="Times New Roman" w:hAnsi="Arial" w:cs="Arial"/>
                <w:color w:val="000000"/>
                <w:sz w:val="20"/>
                <w:szCs w:val="20"/>
                <w:lang w:eastAsia="en-CA"/>
              </w:rPr>
              <w:t>.</w:t>
            </w:r>
            <w:r>
              <w:rPr>
                <w:rFonts w:ascii="Arial" w:eastAsia="Times New Roman" w:hAnsi="Arial" w:cs="Arial"/>
                <w:color w:val="000000"/>
                <w:sz w:val="20"/>
                <w:szCs w:val="20"/>
                <w:lang w:eastAsia="en-CA"/>
              </w:rPr>
              <w:t xml:space="preserve"> More attention and assurance for comprehensive and complete ICRs is strongly recommended.</w:t>
            </w:r>
            <w:r w:rsidRPr="0054538E">
              <w:rPr>
                <w:rFonts w:ascii="Arial" w:eastAsia="Times New Roman" w:hAnsi="Arial" w:cs="Arial"/>
                <w:color w:val="000000"/>
                <w:sz w:val="20"/>
                <w:szCs w:val="20"/>
                <w:lang w:eastAsia="en-CA"/>
              </w:rPr>
              <w:t xml:space="preserve"> For a </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best practice</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 xml:space="preserve"> example of</w:t>
            </w:r>
            <w:r>
              <w:rPr>
                <w:rFonts w:ascii="Arial" w:eastAsia="Times New Roman" w:hAnsi="Arial" w:cs="Arial"/>
                <w:color w:val="000000"/>
                <w:sz w:val="20"/>
                <w:szCs w:val="20"/>
                <w:lang w:eastAsia="en-CA"/>
              </w:rPr>
              <w:t xml:space="preserve"> an</w:t>
            </w:r>
            <w:r w:rsidRPr="0054538E">
              <w:rPr>
                <w:rFonts w:ascii="Arial" w:eastAsia="Times New Roman" w:hAnsi="Arial" w:cs="Arial"/>
                <w:color w:val="000000"/>
                <w:sz w:val="20"/>
                <w:szCs w:val="20"/>
                <w:lang w:eastAsia="en-CA"/>
              </w:rPr>
              <w:t xml:space="preserve"> ICR </w:t>
            </w:r>
            <w:r>
              <w:rPr>
                <w:rFonts w:ascii="Arial" w:eastAsia="Times New Roman" w:hAnsi="Arial" w:cs="Arial"/>
                <w:color w:val="000000"/>
                <w:sz w:val="20"/>
                <w:szCs w:val="20"/>
                <w:lang w:eastAsia="en-CA"/>
              </w:rPr>
              <w:t xml:space="preserve">reviewed in the sample, please </w:t>
            </w:r>
            <w:r w:rsidRPr="0054538E">
              <w:rPr>
                <w:rFonts w:ascii="Arial" w:eastAsia="Times New Roman" w:hAnsi="Arial" w:cs="Arial"/>
                <w:color w:val="000000"/>
                <w:sz w:val="20"/>
                <w:szCs w:val="20"/>
                <w:lang w:eastAsia="en-CA"/>
              </w:rPr>
              <w:t xml:space="preserve">see TAME Mongolia </w:t>
            </w:r>
            <w:r>
              <w:rPr>
                <w:rFonts w:ascii="Arial" w:eastAsia="Times New Roman" w:hAnsi="Arial" w:cs="Arial"/>
                <w:color w:val="000000"/>
                <w:sz w:val="20"/>
                <w:szCs w:val="20"/>
                <w:lang w:eastAsia="en-CA"/>
              </w:rPr>
              <w:t>and</w:t>
            </w:r>
            <w:r w:rsidRPr="0054538E">
              <w:rPr>
                <w:rFonts w:ascii="Arial" w:eastAsia="Times New Roman" w:hAnsi="Arial" w:cs="Arial"/>
                <w:color w:val="000000"/>
                <w:sz w:val="20"/>
                <w:szCs w:val="20"/>
                <w:lang w:eastAsia="en-CA"/>
              </w:rPr>
              <w:t xml:space="preserve"> CCAG Philippines</w:t>
            </w:r>
          </w:p>
        </w:tc>
      </w:tr>
      <w:tr w:rsidR="00C14DEC" w:rsidRPr="0054538E" w14:paraId="69BE950E" w14:textId="0804D535" w:rsidTr="005207A9">
        <w:trPr>
          <w:trHeight w:val="1166"/>
        </w:trPr>
        <w:tc>
          <w:tcPr>
            <w:tcW w:w="2241" w:type="dxa"/>
            <w:shd w:val="clear" w:color="auto" w:fill="auto"/>
            <w:noWrap/>
            <w:vAlign w:val="bottom"/>
            <w:hideMark/>
          </w:tcPr>
          <w:p w14:paraId="1999B863" w14:textId="686D96CC"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Output indicator 3</w:t>
            </w:r>
          </w:p>
        </w:tc>
        <w:tc>
          <w:tcPr>
            <w:tcW w:w="4417" w:type="dxa"/>
            <w:shd w:val="clear" w:color="auto" w:fill="auto"/>
            <w:vAlign w:val="bottom"/>
            <w:hideMark/>
          </w:tcPr>
          <w:p w14:paraId="45F5F5CB" w14:textId="77777777" w:rsidR="0021382A" w:rsidRDefault="0021382A" w:rsidP="0021382A">
            <w:pPr>
              <w:spacing w:after="0" w:line="240" w:lineRule="auto"/>
              <w:rPr>
                <w:rFonts w:ascii="Arial" w:eastAsia="Times New Roman" w:hAnsi="Arial" w:cs="Arial"/>
                <w:color w:val="000000"/>
                <w:sz w:val="20"/>
                <w:szCs w:val="20"/>
                <w:lang w:eastAsia="en-CA"/>
              </w:rPr>
            </w:pPr>
          </w:p>
          <w:p w14:paraId="777B6452" w14:textId="622F26F2"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As this indicator ((N</w:t>
            </w:r>
            <w:r w:rsidRPr="003157E4">
              <w:rPr>
                <w:rFonts w:ascii="Arial" w:eastAsia="Times New Roman" w:hAnsi="Arial" w:cs="Arial"/>
                <w:sz w:val="20"/>
                <w:szCs w:val="20"/>
              </w:rPr>
              <w:t>umber of grants for which World Bank sector teams supported engagement between civil society and government</w:t>
            </w:r>
            <w:r>
              <w:rPr>
                <w:rFonts w:ascii="Arial" w:eastAsia="Times New Roman" w:hAnsi="Arial" w:cs="Arial"/>
                <w:sz w:val="20"/>
                <w:szCs w:val="20"/>
              </w:rPr>
              <w:t>), i</w:t>
            </w:r>
            <w:r>
              <w:rPr>
                <w:rFonts w:ascii="Arial" w:eastAsia="Times New Roman" w:hAnsi="Arial" w:cs="Arial"/>
                <w:color w:val="000000"/>
                <w:sz w:val="20"/>
                <w:szCs w:val="20"/>
                <w:lang w:eastAsia="en-CA"/>
              </w:rPr>
              <w:t>s not an operational indicator and therefore not included in the MERL Guide, at the time of the coding exercise, a m</w:t>
            </w:r>
            <w:r w:rsidRPr="0054538E">
              <w:rPr>
                <w:rFonts w:ascii="Arial" w:eastAsia="Times New Roman" w:hAnsi="Arial" w:cs="Arial"/>
                <w:color w:val="000000"/>
                <w:sz w:val="20"/>
                <w:szCs w:val="20"/>
                <w:lang w:eastAsia="en-CA"/>
              </w:rPr>
              <w:t xml:space="preserve">ethod </w:t>
            </w:r>
            <w:r>
              <w:rPr>
                <w:rFonts w:ascii="Arial" w:eastAsia="Times New Roman" w:hAnsi="Arial" w:cs="Arial"/>
                <w:color w:val="000000"/>
                <w:sz w:val="20"/>
                <w:szCs w:val="20"/>
                <w:lang w:eastAsia="en-CA"/>
              </w:rPr>
              <w:t xml:space="preserve">had </w:t>
            </w:r>
            <w:r w:rsidRPr="0054538E">
              <w:rPr>
                <w:rFonts w:ascii="Arial" w:eastAsia="Times New Roman" w:hAnsi="Arial" w:cs="Arial"/>
                <w:color w:val="000000"/>
                <w:sz w:val="20"/>
                <w:szCs w:val="20"/>
                <w:lang w:eastAsia="en-CA"/>
              </w:rPr>
              <w:t xml:space="preserve">not yet </w:t>
            </w:r>
            <w:r>
              <w:rPr>
                <w:rFonts w:ascii="Arial" w:eastAsia="Times New Roman" w:hAnsi="Arial" w:cs="Arial"/>
                <w:color w:val="000000"/>
                <w:sz w:val="20"/>
                <w:szCs w:val="20"/>
                <w:lang w:eastAsia="en-CA"/>
              </w:rPr>
              <w:t xml:space="preserve">been fully </w:t>
            </w:r>
            <w:r w:rsidRPr="0054538E">
              <w:rPr>
                <w:rFonts w:ascii="Arial" w:eastAsia="Times New Roman" w:hAnsi="Arial" w:cs="Arial"/>
                <w:color w:val="000000"/>
                <w:sz w:val="20"/>
                <w:szCs w:val="20"/>
                <w:lang w:eastAsia="en-CA"/>
              </w:rPr>
              <w:t>developed</w:t>
            </w:r>
            <w:r>
              <w:rPr>
                <w:rFonts w:ascii="Arial" w:eastAsia="Times New Roman" w:hAnsi="Arial" w:cs="Arial"/>
                <w:color w:val="000000"/>
                <w:sz w:val="20"/>
                <w:szCs w:val="20"/>
                <w:lang w:eastAsia="en-CA"/>
              </w:rPr>
              <w:t>. The GPSA asked the consultant to include it based on the available evidence, and it was</w:t>
            </w:r>
            <w:r w:rsidRPr="0054538E">
              <w:rPr>
                <w:rFonts w:ascii="Arial" w:eastAsia="Times New Roman" w:hAnsi="Arial" w:cs="Arial"/>
                <w:color w:val="000000"/>
                <w:sz w:val="20"/>
                <w:szCs w:val="20"/>
                <w:lang w:eastAsia="en-CA"/>
              </w:rPr>
              <w:t xml:space="preserve"> agreed </w:t>
            </w:r>
            <w:r>
              <w:rPr>
                <w:rFonts w:ascii="Arial" w:eastAsia="Times New Roman" w:hAnsi="Arial" w:cs="Arial"/>
                <w:color w:val="000000"/>
                <w:sz w:val="20"/>
                <w:szCs w:val="20"/>
                <w:lang w:eastAsia="en-CA"/>
              </w:rPr>
              <w:t>that a</w:t>
            </w:r>
            <w:r w:rsidRPr="0054538E">
              <w:rPr>
                <w:rFonts w:ascii="Arial" w:eastAsia="Times New Roman" w:hAnsi="Arial" w:cs="Arial"/>
                <w:color w:val="000000"/>
                <w:sz w:val="20"/>
                <w:szCs w:val="20"/>
                <w:lang w:eastAsia="en-CA"/>
              </w:rPr>
              <w:t xml:space="preserve"> simple yes or no</w:t>
            </w:r>
            <w:r>
              <w:rPr>
                <w:rFonts w:ascii="Arial" w:eastAsia="Times New Roman" w:hAnsi="Arial" w:cs="Arial"/>
                <w:color w:val="000000"/>
                <w:sz w:val="20"/>
                <w:szCs w:val="20"/>
                <w:lang w:eastAsia="en-CA"/>
              </w:rPr>
              <w:t xml:space="preserve"> would be used to determine the value for the purposes of this exercise.</w:t>
            </w:r>
          </w:p>
          <w:p w14:paraId="39436676" w14:textId="3D39FEF7"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However, in the process of coding and scoring this indicator i</w:t>
            </w:r>
            <w:r>
              <w:rPr>
                <w:rFonts w:ascii="Arial" w:eastAsia="Times New Roman" w:hAnsi="Arial" w:cs="Arial"/>
                <w:sz w:val="20"/>
                <w:szCs w:val="20"/>
              </w:rPr>
              <w:t>t was observed that simply proccing a ‘y</w:t>
            </w:r>
            <w:r w:rsidRPr="0054538E">
              <w:rPr>
                <w:rFonts w:ascii="Arial" w:eastAsia="Times New Roman" w:hAnsi="Arial" w:cs="Arial"/>
                <w:color w:val="000000"/>
                <w:sz w:val="20"/>
                <w:szCs w:val="20"/>
                <w:lang w:eastAsia="en-CA"/>
              </w:rPr>
              <w:t>es</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 xml:space="preserve"> or </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no</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 xml:space="preserve"> is too crude and</w:t>
            </w:r>
            <w:r>
              <w:rPr>
                <w:rFonts w:ascii="Arial" w:eastAsia="Times New Roman" w:hAnsi="Arial" w:cs="Arial"/>
                <w:color w:val="000000"/>
                <w:sz w:val="20"/>
                <w:szCs w:val="20"/>
                <w:lang w:eastAsia="en-CA"/>
              </w:rPr>
              <w:t xml:space="preserve"> lacks nuance – as a result coding in this way</w:t>
            </w:r>
            <w:r w:rsidRPr="0054538E">
              <w:rPr>
                <w:rFonts w:ascii="Arial" w:eastAsia="Times New Roman" w:hAnsi="Arial" w:cs="Arial"/>
                <w:color w:val="000000"/>
                <w:sz w:val="20"/>
                <w:szCs w:val="20"/>
                <w:lang w:eastAsia="en-CA"/>
              </w:rPr>
              <w:t xml:space="preserve"> will end up being mostly </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yes</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 xml:space="preserve">and poorly reflect the reality of mixed/varied support </w:t>
            </w:r>
            <w:proofErr w:type="gramStart"/>
            <w:r>
              <w:rPr>
                <w:rFonts w:ascii="Arial" w:eastAsia="Times New Roman" w:hAnsi="Arial" w:cs="Arial"/>
                <w:color w:val="000000"/>
                <w:sz w:val="20"/>
                <w:szCs w:val="20"/>
                <w:lang w:eastAsia="en-CA"/>
              </w:rPr>
              <w:t>in a given</w:t>
            </w:r>
            <w:proofErr w:type="gramEnd"/>
            <w:r>
              <w:rPr>
                <w:rFonts w:ascii="Arial" w:eastAsia="Times New Roman" w:hAnsi="Arial" w:cs="Arial"/>
                <w:color w:val="000000"/>
                <w:sz w:val="20"/>
                <w:szCs w:val="20"/>
                <w:lang w:eastAsia="en-CA"/>
              </w:rPr>
              <w:t xml:space="preserve"> project.</w:t>
            </w:r>
          </w:p>
        </w:tc>
        <w:tc>
          <w:tcPr>
            <w:tcW w:w="3402" w:type="dxa"/>
          </w:tcPr>
          <w:p w14:paraId="75CC7509" w14:textId="77777777" w:rsidR="0021382A" w:rsidRDefault="0021382A" w:rsidP="0021382A">
            <w:pPr>
              <w:spacing w:after="0" w:line="240" w:lineRule="auto"/>
              <w:rPr>
                <w:rFonts w:ascii="Arial" w:eastAsia="Times New Roman" w:hAnsi="Arial" w:cs="Arial"/>
                <w:color w:val="000000"/>
                <w:sz w:val="20"/>
                <w:szCs w:val="20"/>
                <w:lang w:eastAsia="en-CA"/>
              </w:rPr>
            </w:pPr>
          </w:p>
          <w:p w14:paraId="7C23A283" w14:textId="3BACF8AA" w:rsidR="0021382A"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As explained in section 3 above, it is suggested that this indicator coding frame and method be adjusted in future to be on </w:t>
            </w:r>
            <w:r w:rsidRPr="0054538E">
              <w:rPr>
                <w:rFonts w:ascii="Arial" w:eastAsia="Times New Roman" w:hAnsi="Arial" w:cs="Arial"/>
                <w:color w:val="000000"/>
                <w:sz w:val="20"/>
                <w:szCs w:val="20"/>
                <w:lang w:eastAsia="en-CA"/>
              </w:rPr>
              <w:t xml:space="preserve">a scale or </w:t>
            </w:r>
            <w:r>
              <w:rPr>
                <w:rFonts w:ascii="Arial" w:eastAsia="Times New Roman" w:hAnsi="Arial" w:cs="Arial"/>
                <w:color w:val="000000"/>
                <w:sz w:val="20"/>
                <w:szCs w:val="20"/>
                <w:lang w:eastAsia="en-CA"/>
              </w:rPr>
              <w:t>allow for a ‘</w:t>
            </w:r>
            <w:r w:rsidRPr="0054538E">
              <w:rPr>
                <w:rFonts w:ascii="Arial" w:eastAsia="Times New Roman" w:hAnsi="Arial" w:cs="Arial"/>
                <w:color w:val="000000"/>
                <w:sz w:val="20"/>
                <w:szCs w:val="20"/>
                <w:lang w:eastAsia="en-CA"/>
              </w:rPr>
              <w:t>partial</w:t>
            </w:r>
            <w:r>
              <w:rPr>
                <w:rFonts w:ascii="Arial" w:eastAsia="Times New Roman" w:hAnsi="Arial" w:cs="Arial"/>
                <w:color w:val="000000"/>
                <w:sz w:val="20"/>
                <w:szCs w:val="20"/>
                <w:lang w:eastAsia="en-CA"/>
              </w:rPr>
              <w:t>’</w:t>
            </w:r>
            <w:r w:rsidRPr="0054538E">
              <w:rPr>
                <w:rFonts w:ascii="Arial" w:eastAsia="Times New Roman" w:hAnsi="Arial" w:cs="Arial"/>
                <w:color w:val="000000"/>
                <w:sz w:val="20"/>
                <w:szCs w:val="20"/>
                <w:lang w:eastAsia="en-CA"/>
              </w:rPr>
              <w:t xml:space="preserve"> score for this indicator</w:t>
            </w:r>
            <w:r>
              <w:rPr>
                <w:rFonts w:ascii="Arial" w:eastAsia="Times New Roman" w:hAnsi="Arial" w:cs="Arial"/>
                <w:color w:val="000000"/>
                <w:sz w:val="20"/>
                <w:szCs w:val="20"/>
                <w:lang w:eastAsia="en-CA"/>
              </w:rPr>
              <w:t>.</w:t>
            </w:r>
          </w:p>
          <w:p w14:paraId="4FA6AD5D" w14:textId="77777777" w:rsidR="0021382A" w:rsidRDefault="0021382A" w:rsidP="0021382A">
            <w:pPr>
              <w:spacing w:after="0" w:line="240" w:lineRule="auto"/>
              <w:rPr>
                <w:rFonts w:ascii="Arial" w:eastAsia="Times New Roman" w:hAnsi="Arial" w:cs="Arial"/>
                <w:color w:val="000000"/>
                <w:sz w:val="20"/>
                <w:szCs w:val="20"/>
                <w:lang w:eastAsia="en-CA"/>
              </w:rPr>
            </w:pPr>
          </w:p>
          <w:p w14:paraId="3C74061B" w14:textId="6583DAFC"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 xml:space="preserve">For independent verification and to account for the asymmetrical power dynamics between grant partner and WB, </w:t>
            </w:r>
            <w:r>
              <w:rPr>
                <w:rFonts w:ascii="Arial" w:eastAsia="Times New Roman" w:hAnsi="Arial" w:cs="Arial"/>
                <w:color w:val="000000"/>
                <w:sz w:val="20"/>
                <w:szCs w:val="20"/>
                <w:lang w:eastAsia="en-CA"/>
              </w:rPr>
              <w:t>The GPSA should also consider that projects include a</w:t>
            </w:r>
            <w:r w:rsidRPr="0054538E">
              <w:rPr>
                <w:rFonts w:ascii="Arial" w:eastAsia="Times New Roman" w:hAnsi="Arial" w:cs="Arial"/>
                <w:color w:val="000000"/>
                <w:sz w:val="20"/>
                <w:szCs w:val="20"/>
                <w:lang w:eastAsia="en-CA"/>
              </w:rPr>
              <w:t xml:space="preserve"> K</w:t>
            </w:r>
            <w:r>
              <w:rPr>
                <w:rFonts w:ascii="Arial" w:eastAsia="Times New Roman" w:hAnsi="Arial" w:cs="Arial"/>
                <w:color w:val="000000"/>
                <w:sz w:val="20"/>
                <w:szCs w:val="20"/>
                <w:lang w:eastAsia="en-CA"/>
              </w:rPr>
              <w:t xml:space="preserve">ey Evaluation Question </w:t>
            </w:r>
            <w:r w:rsidRPr="0054538E">
              <w:rPr>
                <w:rFonts w:ascii="Arial" w:eastAsia="Times New Roman" w:hAnsi="Arial" w:cs="Arial"/>
                <w:color w:val="000000"/>
                <w:sz w:val="20"/>
                <w:szCs w:val="20"/>
                <w:lang w:eastAsia="en-CA"/>
              </w:rPr>
              <w:t xml:space="preserve">on this indicator for the MERL consultant to </w:t>
            </w:r>
            <w:r>
              <w:rPr>
                <w:rFonts w:ascii="Arial" w:eastAsia="Times New Roman" w:hAnsi="Arial" w:cs="Arial"/>
                <w:color w:val="000000"/>
                <w:sz w:val="20"/>
                <w:szCs w:val="20"/>
                <w:lang w:eastAsia="en-CA"/>
              </w:rPr>
              <w:t xml:space="preserve">independently </w:t>
            </w:r>
            <w:r w:rsidRPr="0054538E">
              <w:rPr>
                <w:rFonts w:ascii="Arial" w:eastAsia="Times New Roman" w:hAnsi="Arial" w:cs="Arial"/>
                <w:color w:val="000000"/>
                <w:sz w:val="20"/>
                <w:szCs w:val="20"/>
                <w:lang w:eastAsia="en-CA"/>
              </w:rPr>
              <w:t>assess</w:t>
            </w:r>
            <w:r>
              <w:rPr>
                <w:rFonts w:ascii="Arial" w:eastAsia="Times New Roman" w:hAnsi="Arial" w:cs="Arial"/>
                <w:color w:val="000000"/>
                <w:sz w:val="20"/>
                <w:szCs w:val="20"/>
                <w:lang w:eastAsia="en-CA"/>
              </w:rPr>
              <w:t xml:space="preserve"> or that it be part of the Results Framework indicators that they are expected to include in the annual project Results Framework assessments/updates in addition to the operational indicators.</w:t>
            </w:r>
          </w:p>
        </w:tc>
      </w:tr>
      <w:tr w:rsidR="00C14DEC" w:rsidRPr="0054538E" w14:paraId="3743B0AD" w14:textId="4A1B07F5" w:rsidTr="005207A9">
        <w:trPr>
          <w:trHeight w:val="875"/>
        </w:trPr>
        <w:tc>
          <w:tcPr>
            <w:tcW w:w="2241" w:type="dxa"/>
            <w:shd w:val="clear" w:color="auto" w:fill="auto"/>
            <w:noWrap/>
            <w:vAlign w:val="bottom"/>
            <w:hideMark/>
          </w:tcPr>
          <w:p w14:paraId="4F693245" w14:textId="4541E019"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Grant partner Results Framework Indicators </w:t>
            </w:r>
          </w:p>
        </w:tc>
        <w:tc>
          <w:tcPr>
            <w:tcW w:w="4417" w:type="dxa"/>
            <w:shd w:val="clear" w:color="auto" w:fill="auto"/>
            <w:vAlign w:val="bottom"/>
            <w:hideMark/>
          </w:tcPr>
          <w:p w14:paraId="0205C9EA" w14:textId="77777777" w:rsidR="00C14DEC" w:rsidRDefault="00C14DEC" w:rsidP="0021382A">
            <w:pPr>
              <w:spacing w:after="0" w:line="240" w:lineRule="auto"/>
              <w:rPr>
                <w:rFonts w:ascii="Arial" w:eastAsia="Times New Roman" w:hAnsi="Arial" w:cs="Arial"/>
                <w:color w:val="000000"/>
                <w:sz w:val="20"/>
                <w:szCs w:val="20"/>
                <w:lang w:eastAsia="en-CA"/>
              </w:rPr>
            </w:pPr>
          </w:p>
          <w:p w14:paraId="11BA6865" w14:textId="06DDB217" w:rsidR="0021382A" w:rsidRPr="0054538E" w:rsidRDefault="0021382A" w:rsidP="0021382A">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Many of the grant partner project Results Framework include far too many indicators and some were also placed</w:t>
            </w:r>
            <w:r w:rsidRPr="0054538E">
              <w:rPr>
                <w:rFonts w:ascii="Arial" w:eastAsia="Times New Roman" w:hAnsi="Arial" w:cs="Arial"/>
                <w:color w:val="000000"/>
                <w:sz w:val="20"/>
                <w:szCs w:val="20"/>
                <w:lang w:eastAsia="en-CA"/>
              </w:rPr>
              <w:t xml:space="preserve"> at the wrong level for PDO or I</w:t>
            </w:r>
            <w:r>
              <w:rPr>
                <w:rFonts w:ascii="Arial" w:eastAsia="Times New Roman" w:hAnsi="Arial" w:cs="Arial"/>
                <w:color w:val="000000"/>
                <w:sz w:val="20"/>
                <w:szCs w:val="20"/>
                <w:lang w:eastAsia="en-CA"/>
              </w:rPr>
              <w:t xml:space="preserve">mmediate Results (IR) </w:t>
            </w:r>
            <w:r w:rsidRPr="0054538E">
              <w:rPr>
                <w:rFonts w:ascii="Arial" w:eastAsia="Times New Roman" w:hAnsi="Arial" w:cs="Arial"/>
                <w:color w:val="000000"/>
                <w:sz w:val="20"/>
                <w:szCs w:val="20"/>
                <w:lang w:eastAsia="en-CA"/>
              </w:rPr>
              <w:t xml:space="preserve">(sometimes IR </w:t>
            </w:r>
            <w:r w:rsidRPr="0054538E">
              <w:rPr>
                <w:rFonts w:ascii="Arial" w:eastAsia="Times New Roman" w:hAnsi="Arial" w:cs="Arial"/>
                <w:color w:val="000000"/>
                <w:sz w:val="20"/>
                <w:szCs w:val="20"/>
                <w:lang w:eastAsia="en-CA"/>
              </w:rPr>
              <w:lastRenderedPageBreak/>
              <w:t xml:space="preserve">ones should be PDO ones as they are about overall impact and results). </w:t>
            </w:r>
            <w:r>
              <w:rPr>
                <w:rFonts w:ascii="Arial" w:eastAsia="Times New Roman" w:hAnsi="Arial" w:cs="Arial"/>
                <w:color w:val="000000"/>
                <w:sz w:val="20"/>
                <w:szCs w:val="20"/>
                <w:lang w:eastAsia="en-CA"/>
              </w:rPr>
              <w:t xml:space="preserve">This places undue burden and stretches limited MERL resources for the project. </w:t>
            </w:r>
          </w:p>
        </w:tc>
        <w:tc>
          <w:tcPr>
            <w:tcW w:w="3402" w:type="dxa"/>
          </w:tcPr>
          <w:p w14:paraId="5C74E564" w14:textId="77777777" w:rsidR="0021382A" w:rsidRDefault="0021382A" w:rsidP="0021382A">
            <w:pPr>
              <w:spacing w:after="0" w:line="240" w:lineRule="auto"/>
              <w:rPr>
                <w:rFonts w:ascii="Arial" w:eastAsia="Times New Roman" w:hAnsi="Arial" w:cs="Arial"/>
                <w:color w:val="000000"/>
                <w:sz w:val="20"/>
                <w:szCs w:val="20"/>
                <w:lang w:eastAsia="en-CA"/>
              </w:rPr>
            </w:pPr>
          </w:p>
          <w:p w14:paraId="0A0D2D28" w14:textId="08A5D1F9" w:rsidR="0021382A" w:rsidRPr="0054538E" w:rsidRDefault="0021382A" w:rsidP="0021382A">
            <w:pPr>
              <w:spacing w:after="0" w:line="240" w:lineRule="auto"/>
              <w:rPr>
                <w:rFonts w:ascii="Arial" w:eastAsia="Times New Roman" w:hAnsi="Arial" w:cs="Arial"/>
                <w:color w:val="000000"/>
                <w:sz w:val="20"/>
                <w:szCs w:val="20"/>
                <w:lang w:eastAsia="en-CA"/>
              </w:rPr>
            </w:pPr>
            <w:r w:rsidRPr="0054538E">
              <w:rPr>
                <w:rFonts w:ascii="Arial" w:eastAsia="Times New Roman" w:hAnsi="Arial" w:cs="Arial"/>
                <w:color w:val="000000"/>
                <w:sz w:val="20"/>
                <w:szCs w:val="20"/>
                <w:lang w:eastAsia="en-CA"/>
              </w:rPr>
              <w:t xml:space="preserve">This </w:t>
            </w:r>
            <w:r>
              <w:rPr>
                <w:rFonts w:ascii="Arial" w:eastAsia="Times New Roman" w:hAnsi="Arial" w:cs="Arial"/>
                <w:color w:val="000000"/>
                <w:sz w:val="20"/>
                <w:szCs w:val="20"/>
                <w:lang w:eastAsia="en-CA"/>
              </w:rPr>
              <w:t>is expected to improve by having</w:t>
            </w:r>
            <w:r w:rsidRPr="0054538E">
              <w:rPr>
                <w:rFonts w:ascii="Arial" w:eastAsia="Times New Roman" w:hAnsi="Arial" w:cs="Arial"/>
                <w:color w:val="000000"/>
                <w:sz w:val="20"/>
                <w:szCs w:val="20"/>
                <w:lang w:eastAsia="en-CA"/>
              </w:rPr>
              <w:t xml:space="preserve"> each </w:t>
            </w:r>
            <w:r>
              <w:rPr>
                <w:rFonts w:ascii="Arial" w:eastAsia="Times New Roman" w:hAnsi="Arial" w:cs="Arial"/>
                <w:color w:val="000000"/>
                <w:sz w:val="20"/>
                <w:szCs w:val="20"/>
                <w:lang w:eastAsia="en-CA"/>
              </w:rPr>
              <w:t>of the GGPSA’s operational Results Framework</w:t>
            </w:r>
            <w:r w:rsidRPr="0054538E">
              <w:rPr>
                <w:rFonts w:ascii="Arial" w:eastAsia="Times New Roman" w:hAnsi="Arial" w:cs="Arial"/>
                <w:color w:val="000000"/>
                <w:sz w:val="20"/>
                <w:szCs w:val="20"/>
                <w:lang w:eastAsia="en-CA"/>
              </w:rPr>
              <w:t xml:space="preserve"> in</w:t>
            </w:r>
            <w:r>
              <w:rPr>
                <w:rFonts w:ascii="Arial" w:eastAsia="Times New Roman" w:hAnsi="Arial" w:cs="Arial"/>
                <w:color w:val="000000"/>
                <w:sz w:val="20"/>
                <w:szCs w:val="20"/>
                <w:lang w:eastAsia="en-CA"/>
              </w:rPr>
              <w:t xml:space="preserve">cluded in the grant partner’s </w:t>
            </w:r>
            <w:r>
              <w:rPr>
                <w:rFonts w:ascii="Arial" w:eastAsia="Times New Roman" w:hAnsi="Arial" w:cs="Arial"/>
                <w:color w:val="000000"/>
                <w:sz w:val="20"/>
                <w:szCs w:val="20"/>
                <w:lang w:eastAsia="en-CA"/>
              </w:rPr>
              <w:lastRenderedPageBreak/>
              <w:t xml:space="preserve">Result Framework </w:t>
            </w:r>
            <w:r w:rsidRPr="0054538E">
              <w:rPr>
                <w:rFonts w:ascii="Arial" w:eastAsia="Times New Roman" w:hAnsi="Arial" w:cs="Arial"/>
                <w:color w:val="000000"/>
                <w:sz w:val="20"/>
                <w:szCs w:val="20"/>
                <w:lang w:eastAsia="en-CA"/>
              </w:rPr>
              <w:t>(localized to the project with functional equivalents)</w:t>
            </w:r>
            <w:r>
              <w:rPr>
                <w:rFonts w:ascii="Arial" w:eastAsia="Times New Roman" w:hAnsi="Arial" w:cs="Arial"/>
                <w:color w:val="000000"/>
                <w:sz w:val="20"/>
                <w:szCs w:val="20"/>
                <w:lang w:eastAsia="en-CA"/>
              </w:rPr>
              <w:t xml:space="preserve"> with the support of a qualified MERL Consultant throughout the project life. While grant partners may choose to include additional indicators, it is also recommended that the grant partners avoid adding too many as it is not required or necessary for the GPSA and uses limited MERL resources.</w:t>
            </w:r>
          </w:p>
        </w:tc>
      </w:tr>
    </w:tbl>
    <w:p w14:paraId="0AB073FC" w14:textId="4043C694" w:rsidR="00816679" w:rsidRPr="003157E4" w:rsidRDefault="00816679" w:rsidP="000616BB">
      <w:pPr>
        <w:pStyle w:val="ListParagraph"/>
        <w:spacing w:after="0"/>
        <w:ind w:left="927"/>
        <w:rPr>
          <w:rFonts w:ascii="Arial" w:hAnsi="Arial" w:cs="Arial"/>
          <w:bCs/>
          <w:i/>
          <w:iCs/>
          <w:sz w:val="20"/>
          <w:szCs w:val="20"/>
        </w:rPr>
      </w:pPr>
    </w:p>
    <w:sectPr w:rsidR="00816679" w:rsidRPr="003157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3F20" w14:textId="77777777" w:rsidR="00C339F7" w:rsidRDefault="00C339F7" w:rsidP="00DC5146">
      <w:pPr>
        <w:spacing w:after="0" w:line="240" w:lineRule="auto"/>
      </w:pPr>
      <w:r>
        <w:separator/>
      </w:r>
    </w:p>
  </w:endnote>
  <w:endnote w:type="continuationSeparator" w:id="0">
    <w:p w14:paraId="49F0B6CC" w14:textId="77777777" w:rsidR="00C339F7" w:rsidRDefault="00C339F7" w:rsidP="00DC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BD35" w14:textId="77777777" w:rsidR="00C339F7" w:rsidRDefault="00C339F7" w:rsidP="00DC5146">
      <w:pPr>
        <w:spacing w:after="0" w:line="240" w:lineRule="auto"/>
      </w:pPr>
      <w:r>
        <w:separator/>
      </w:r>
    </w:p>
  </w:footnote>
  <w:footnote w:type="continuationSeparator" w:id="0">
    <w:p w14:paraId="038AD827" w14:textId="77777777" w:rsidR="00C339F7" w:rsidRDefault="00C339F7" w:rsidP="00DC5146">
      <w:pPr>
        <w:spacing w:after="0" w:line="240" w:lineRule="auto"/>
      </w:pPr>
      <w:r>
        <w:continuationSeparator/>
      </w:r>
    </w:p>
  </w:footnote>
  <w:footnote w:id="1">
    <w:p w14:paraId="79C25C3B" w14:textId="2CF1FE62" w:rsidR="00DC5146" w:rsidRDefault="00DC5146">
      <w:pPr>
        <w:pStyle w:val="FootnoteText"/>
      </w:pPr>
      <w:r>
        <w:rPr>
          <w:rStyle w:val="FootnoteReference"/>
        </w:rPr>
        <w:footnoteRef/>
      </w:r>
      <w:r w:rsidRPr="00DC31A4">
        <w:rPr>
          <w:lang w:val="pt-BR"/>
        </w:rPr>
        <w:t xml:space="preserve"> </w:t>
      </w:r>
      <w:r w:rsidRPr="00DC31A4">
        <w:rPr>
          <w:rFonts w:ascii="Arial" w:hAnsi="Arial" w:cs="Arial"/>
          <w:lang w:val="pt-BR"/>
        </w:rPr>
        <w:t xml:space="preserve">See: Poli, Maria, and Maria F. Guerzovich. </w:t>
      </w:r>
      <w:r w:rsidRPr="00C569D8">
        <w:rPr>
          <w:rFonts w:ascii="Arial" w:hAnsi="Arial" w:cs="Arial"/>
        </w:rPr>
        <w:t>2020. “Capacity and Implementation Support Area: Portfolio Performance</w:t>
      </w:r>
      <w:r>
        <w:rPr>
          <w:rFonts w:ascii="Arial" w:hAnsi="Arial" w:cs="Arial"/>
        </w:rPr>
        <w:t xml:space="preserve"> </w:t>
      </w:r>
      <w:r w:rsidRPr="00C569D8">
        <w:rPr>
          <w:rFonts w:ascii="Arial" w:hAnsi="Arial" w:cs="Arial"/>
        </w:rPr>
        <w:t>Review.” Global Partnership for Social Accountability Note 15. World Bank, Washington, DC.</w:t>
      </w:r>
    </w:p>
  </w:footnote>
  <w:footnote w:id="2">
    <w:p w14:paraId="2AE6AEB7" w14:textId="3EE7542C" w:rsidR="002F5A40" w:rsidRPr="005207A9" w:rsidRDefault="002F5A40" w:rsidP="005207A9">
      <w:pPr>
        <w:shd w:val="clear" w:color="auto" w:fill="FFFFFF" w:themeFill="background1"/>
        <w:spacing w:after="0" w:line="240" w:lineRule="auto"/>
        <w:outlineLvl w:val="0"/>
        <w:rPr>
          <w:sz w:val="18"/>
          <w:szCs w:val="18"/>
        </w:rPr>
      </w:pPr>
      <w:r w:rsidRPr="005207A9">
        <w:rPr>
          <w:rStyle w:val="FootnoteReference"/>
          <w:sz w:val="18"/>
          <w:szCs w:val="18"/>
        </w:rPr>
        <w:footnoteRef/>
      </w:r>
      <w:r w:rsidRPr="005207A9">
        <w:rPr>
          <w:sz w:val="18"/>
          <w:szCs w:val="18"/>
        </w:rPr>
        <w:t xml:space="preserve"> </w:t>
      </w:r>
      <w:r w:rsidR="00DB5471" w:rsidRPr="005207A9">
        <w:rPr>
          <w:sz w:val="18"/>
          <w:szCs w:val="18"/>
        </w:rPr>
        <w:t>For more</w:t>
      </w:r>
      <w:r w:rsidR="00DB5471">
        <w:rPr>
          <w:sz w:val="18"/>
          <w:szCs w:val="18"/>
        </w:rPr>
        <w:t xml:space="preserve"> background</w:t>
      </w:r>
      <w:r w:rsidR="00DB5471" w:rsidRPr="005207A9">
        <w:rPr>
          <w:sz w:val="18"/>
          <w:szCs w:val="18"/>
        </w:rPr>
        <w:t xml:space="preserve"> </w:t>
      </w:r>
      <w:r w:rsidR="00DB5471">
        <w:rPr>
          <w:sz w:val="18"/>
          <w:szCs w:val="18"/>
        </w:rPr>
        <w:t xml:space="preserve">and context </w:t>
      </w:r>
      <w:r w:rsidR="00DB5471" w:rsidRPr="005207A9">
        <w:rPr>
          <w:sz w:val="18"/>
          <w:szCs w:val="18"/>
        </w:rPr>
        <w:t xml:space="preserve">on </w:t>
      </w:r>
      <w:r w:rsidRPr="005207A9">
        <w:rPr>
          <w:sz w:val="18"/>
          <w:szCs w:val="18"/>
        </w:rPr>
        <w:t xml:space="preserve">the </w:t>
      </w:r>
      <w:r w:rsidR="00DB5471">
        <w:rPr>
          <w:sz w:val="18"/>
          <w:szCs w:val="18"/>
        </w:rPr>
        <w:t>GPSA’s CSA sustainability approach and</w:t>
      </w:r>
      <w:r w:rsidR="00DB5471" w:rsidRPr="005207A9">
        <w:rPr>
          <w:sz w:val="18"/>
          <w:szCs w:val="18"/>
        </w:rPr>
        <w:t xml:space="preserve"> pathways</w:t>
      </w:r>
      <w:r w:rsidR="00DB5471">
        <w:rPr>
          <w:sz w:val="18"/>
          <w:szCs w:val="18"/>
        </w:rPr>
        <w:t xml:space="preserve"> to scale,</w:t>
      </w:r>
      <w:r w:rsidR="00DB5471" w:rsidRPr="005207A9">
        <w:rPr>
          <w:sz w:val="18"/>
          <w:szCs w:val="18"/>
        </w:rPr>
        <w:t xml:space="preserve"> please see </w:t>
      </w:r>
      <w:hyperlink r:id="rId1" w:history="1">
        <w:r w:rsidRPr="005207A9">
          <w:rPr>
            <w:rFonts w:eastAsia="Times New Roman"/>
            <w:color w:val="0070C0"/>
            <w:kern w:val="36"/>
            <w:sz w:val="18"/>
            <w:szCs w:val="18"/>
            <w:u w:val="single"/>
          </w:rPr>
          <w:t>https://thomasmtaston.medium.com/introducing-a-resonance-pathway-to-scale-6cacd5163cd8</w:t>
        </w:r>
      </w:hyperlink>
      <w:r w:rsidRPr="005207A9">
        <w:rPr>
          <w:sz w:val="18"/>
          <w:szCs w:val="18"/>
        </w:rPr>
        <w:t xml:space="preserve"> </w:t>
      </w:r>
    </w:p>
    <w:p w14:paraId="6EC95D5F" w14:textId="77777777" w:rsidR="002F5A40" w:rsidRPr="005207A9" w:rsidRDefault="00C339F7" w:rsidP="002F5A40">
      <w:pPr>
        <w:shd w:val="clear" w:color="auto" w:fill="FFFFFF" w:themeFill="background1"/>
        <w:spacing w:after="0" w:line="240" w:lineRule="auto"/>
        <w:outlineLvl w:val="0"/>
        <w:rPr>
          <w:rFonts w:eastAsia="Times New Roman"/>
          <w:color w:val="0070C0"/>
          <w:kern w:val="36"/>
          <w:sz w:val="18"/>
          <w:szCs w:val="18"/>
          <w:u w:val="single"/>
        </w:rPr>
      </w:pPr>
      <w:hyperlink r:id="rId2" w:history="1">
        <w:r w:rsidR="002F5A40" w:rsidRPr="005207A9">
          <w:rPr>
            <w:rFonts w:eastAsia="Times New Roman"/>
            <w:color w:val="0070C0"/>
            <w:kern w:val="36"/>
            <w:sz w:val="18"/>
            <w:szCs w:val="18"/>
            <w:u w:val="single"/>
          </w:rPr>
          <w:t>https://medium.com/@florcig/how-context-shapes-pathways-to-scale-in-social-accountability-post-4-of-5-d417cfe2b4f5</w:t>
        </w:r>
      </w:hyperlink>
    </w:p>
    <w:p w14:paraId="3E0FFCDF" w14:textId="77777777" w:rsidR="002F5A40" w:rsidRPr="005207A9" w:rsidRDefault="00C339F7" w:rsidP="002F5A40">
      <w:pPr>
        <w:shd w:val="clear" w:color="auto" w:fill="FFFFFF" w:themeFill="background1"/>
        <w:spacing w:after="0" w:line="240" w:lineRule="auto"/>
        <w:outlineLvl w:val="0"/>
        <w:rPr>
          <w:rFonts w:ascii="Helvetica" w:eastAsia="Times New Roman" w:hAnsi="Helvetica" w:cs="Helvetica"/>
          <w:b/>
          <w:bCs/>
          <w:spacing w:val="-3"/>
          <w:kern w:val="36"/>
          <w:sz w:val="18"/>
          <w:szCs w:val="18"/>
        </w:rPr>
      </w:pPr>
      <w:hyperlink r:id="rId3" w:history="1">
        <w:r w:rsidR="002F5A40" w:rsidRPr="005207A9">
          <w:rPr>
            <w:rFonts w:eastAsia="Times New Roman"/>
            <w:color w:val="0070C0"/>
            <w:kern w:val="36"/>
            <w:sz w:val="18"/>
            <w:szCs w:val="18"/>
            <w:u w:val="single"/>
          </w:rPr>
          <w:t>https://medium.com/@florcig/scale-up-in-time-revisiting-how-we-evidence-process-context-6c53f82a1817</w:t>
        </w:r>
      </w:hyperlink>
      <w:r w:rsidR="002F5A40" w:rsidRPr="005207A9">
        <w:rPr>
          <w:rFonts w:ascii="Helvetica" w:eastAsia="Times New Roman" w:hAnsi="Helvetica" w:cs="Helvetica"/>
          <w:b/>
          <w:bCs/>
          <w:color w:val="0070C0"/>
          <w:spacing w:val="-3"/>
          <w:kern w:val="36"/>
          <w:sz w:val="18"/>
          <w:szCs w:val="18"/>
        </w:rPr>
        <w:t xml:space="preserve"> </w:t>
      </w:r>
    </w:p>
    <w:p w14:paraId="43B32317" w14:textId="514A2765" w:rsidR="002F5A40" w:rsidRDefault="002F5A40" w:rsidP="002F5A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4C5"/>
    <w:multiLevelType w:val="hybridMultilevel"/>
    <w:tmpl w:val="F7CE3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544FE9"/>
    <w:multiLevelType w:val="hybridMultilevel"/>
    <w:tmpl w:val="E904D9E0"/>
    <w:lvl w:ilvl="0" w:tplc="24DC5C0C">
      <w:start w:val="1"/>
      <w:numFmt w:val="decimal"/>
      <w:lvlText w:val="%1."/>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40329F"/>
    <w:multiLevelType w:val="hybridMultilevel"/>
    <w:tmpl w:val="5B8805B6"/>
    <w:lvl w:ilvl="0" w:tplc="55749BA8">
      <w:start w:val="1"/>
      <w:numFmt w:val="upperRoman"/>
      <w:lvlText w:val="%1."/>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1326E2EA">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E79496E4">
      <w:start w:val="1"/>
      <w:numFmt w:val="lowerRoman"/>
      <w:lvlText w:val="%3."/>
      <w:lvlJc w:val="left"/>
      <w:pPr>
        <w:ind w:left="216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24DC5C0C">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CA2A718">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19221DC">
      <w:start w:val="1"/>
      <w:numFmt w:val="lowerRoman"/>
      <w:lvlText w:val="%6."/>
      <w:lvlJc w:val="left"/>
      <w:pPr>
        <w:ind w:left="432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7616B324">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0C2C523A">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F4C836B6">
      <w:start w:val="1"/>
      <w:numFmt w:val="lowerRoman"/>
      <w:lvlText w:val="%9."/>
      <w:lvlJc w:val="left"/>
      <w:pPr>
        <w:ind w:left="648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F445F4C"/>
    <w:multiLevelType w:val="hybridMultilevel"/>
    <w:tmpl w:val="5A1E8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A07F2E"/>
    <w:multiLevelType w:val="hybridMultilevel"/>
    <w:tmpl w:val="A114F4B8"/>
    <w:lvl w:ilvl="0" w:tplc="EDEC3978">
      <w:start w:val="1"/>
      <w:numFmt w:val="upperRoman"/>
      <w:lvlText w:val="%1."/>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161ED20A">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55E23BD0">
      <w:start w:val="1"/>
      <w:numFmt w:val="lowerRoman"/>
      <w:lvlText w:val="%3."/>
      <w:lvlJc w:val="left"/>
      <w:pPr>
        <w:ind w:left="216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2E92E66E">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92EE29FE">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690C56FC">
      <w:start w:val="1"/>
      <w:numFmt w:val="lowerRoman"/>
      <w:lvlText w:val="%6."/>
      <w:lvlJc w:val="left"/>
      <w:pPr>
        <w:ind w:left="432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7D967E16">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B0F89EE4">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104CB74E">
      <w:start w:val="1"/>
      <w:numFmt w:val="lowerRoman"/>
      <w:lvlText w:val="%9."/>
      <w:lvlJc w:val="left"/>
      <w:pPr>
        <w:ind w:left="648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11D0937"/>
    <w:multiLevelType w:val="hybridMultilevel"/>
    <w:tmpl w:val="7C78A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921B9D"/>
    <w:multiLevelType w:val="hybridMultilevel"/>
    <w:tmpl w:val="F48C2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E012B7"/>
    <w:multiLevelType w:val="hybridMultilevel"/>
    <w:tmpl w:val="6B04F5D8"/>
    <w:lvl w:ilvl="0" w:tplc="A282CB22">
      <w:start w:val="1"/>
      <w:numFmt w:val="lowerRoman"/>
      <w:lvlText w:val="(%1)"/>
      <w:lvlJc w:val="left"/>
      <w:pPr>
        <w:ind w:left="810" w:hanging="72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8" w15:restartNumberingAfterBreak="0">
    <w:nsid w:val="37560ABA"/>
    <w:multiLevelType w:val="hybridMultilevel"/>
    <w:tmpl w:val="7814039E"/>
    <w:lvl w:ilvl="0" w:tplc="444EE860">
      <w:start w:val="1"/>
      <w:numFmt w:val="upperRoman"/>
      <w:lvlText w:val="%1."/>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15676F8">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7666AFC2">
      <w:start w:val="1"/>
      <w:numFmt w:val="lowerRoman"/>
      <w:lvlText w:val="%3."/>
      <w:lvlJc w:val="left"/>
      <w:pPr>
        <w:ind w:left="216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3F8BD5C">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032AD1C2">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4BA1AD2">
      <w:start w:val="1"/>
      <w:numFmt w:val="lowerRoman"/>
      <w:lvlText w:val="%6."/>
      <w:lvlJc w:val="left"/>
      <w:pPr>
        <w:ind w:left="432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33B87374">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951026A8">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F58173A">
      <w:start w:val="1"/>
      <w:numFmt w:val="lowerRoman"/>
      <w:lvlText w:val="%9."/>
      <w:lvlJc w:val="left"/>
      <w:pPr>
        <w:ind w:left="648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87948FE"/>
    <w:multiLevelType w:val="hybridMultilevel"/>
    <w:tmpl w:val="F2483644"/>
    <w:lvl w:ilvl="0" w:tplc="1B3C17FC">
      <w:start w:val="1"/>
      <w:numFmt w:val="bullet"/>
      <w:lvlText w:val=""/>
      <w:lvlJc w:val="left"/>
      <w:pPr>
        <w:tabs>
          <w:tab w:val="num" w:pos="720"/>
        </w:tabs>
        <w:ind w:left="720" w:hanging="360"/>
      </w:pPr>
      <w:rPr>
        <w:rFonts w:ascii="Wingdings 2" w:hAnsi="Wingdings 2" w:hint="default"/>
      </w:rPr>
    </w:lvl>
    <w:lvl w:ilvl="1" w:tplc="6C1E2A6C">
      <w:start w:val="1"/>
      <w:numFmt w:val="bullet"/>
      <w:lvlText w:val=""/>
      <w:lvlJc w:val="left"/>
      <w:pPr>
        <w:tabs>
          <w:tab w:val="num" w:pos="1440"/>
        </w:tabs>
        <w:ind w:left="1440" w:hanging="360"/>
      </w:pPr>
      <w:rPr>
        <w:rFonts w:ascii="Wingdings 2" w:hAnsi="Wingdings 2" w:hint="default"/>
      </w:rPr>
    </w:lvl>
    <w:lvl w:ilvl="2" w:tplc="DB969F3E" w:tentative="1">
      <w:start w:val="1"/>
      <w:numFmt w:val="bullet"/>
      <w:lvlText w:val=""/>
      <w:lvlJc w:val="left"/>
      <w:pPr>
        <w:tabs>
          <w:tab w:val="num" w:pos="2160"/>
        </w:tabs>
        <w:ind w:left="2160" w:hanging="360"/>
      </w:pPr>
      <w:rPr>
        <w:rFonts w:ascii="Wingdings 2" w:hAnsi="Wingdings 2" w:hint="default"/>
      </w:rPr>
    </w:lvl>
    <w:lvl w:ilvl="3" w:tplc="90AEF118" w:tentative="1">
      <w:start w:val="1"/>
      <w:numFmt w:val="bullet"/>
      <w:lvlText w:val=""/>
      <w:lvlJc w:val="left"/>
      <w:pPr>
        <w:tabs>
          <w:tab w:val="num" w:pos="2880"/>
        </w:tabs>
        <w:ind w:left="2880" w:hanging="360"/>
      </w:pPr>
      <w:rPr>
        <w:rFonts w:ascii="Wingdings 2" w:hAnsi="Wingdings 2" w:hint="default"/>
      </w:rPr>
    </w:lvl>
    <w:lvl w:ilvl="4" w:tplc="DA1C160E" w:tentative="1">
      <w:start w:val="1"/>
      <w:numFmt w:val="bullet"/>
      <w:lvlText w:val=""/>
      <w:lvlJc w:val="left"/>
      <w:pPr>
        <w:tabs>
          <w:tab w:val="num" w:pos="3600"/>
        </w:tabs>
        <w:ind w:left="3600" w:hanging="360"/>
      </w:pPr>
      <w:rPr>
        <w:rFonts w:ascii="Wingdings 2" w:hAnsi="Wingdings 2" w:hint="default"/>
      </w:rPr>
    </w:lvl>
    <w:lvl w:ilvl="5" w:tplc="6922C520" w:tentative="1">
      <w:start w:val="1"/>
      <w:numFmt w:val="bullet"/>
      <w:lvlText w:val=""/>
      <w:lvlJc w:val="left"/>
      <w:pPr>
        <w:tabs>
          <w:tab w:val="num" w:pos="4320"/>
        </w:tabs>
        <w:ind w:left="4320" w:hanging="360"/>
      </w:pPr>
      <w:rPr>
        <w:rFonts w:ascii="Wingdings 2" w:hAnsi="Wingdings 2" w:hint="default"/>
      </w:rPr>
    </w:lvl>
    <w:lvl w:ilvl="6" w:tplc="EA344D04" w:tentative="1">
      <w:start w:val="1"/>
      <w:numFmt w:val="bullet"/>
      <w:lvlText w:val=""/>
      <w:lvlJc w:val="left"/>
      <w:pPr>
        <w:tabs>
          <w:tab w:val="num" w:pos="5040"/>
        </w:tabs>
        <w:ind w:left="5040" w:hanging="360"/>
      </w:pPr>
      <w:rPr>
        <w:rFonts w:ascii="Wingdings 2" w:hAnsi="Wingdings 2" w:hint="default"/>
      </w:rPr>
    </w:lvl>
    <w:lvl w:ilvl="7" w:tplc="1396D0BC" w:tentative="1">
      <w:start w:val="1"/>
      <w:numFmt w:val="bullet"/>
      <w:lvlText w:val=""/>
      <w:lvlJc w:val="left"/>
      <w:pPr>
        <w:tabs>
          <w:tab w:val="num" w:pos="5760"/>
        </w:tabs>
        <w:ind w:left="5760" w:hanging="360"/>
      </w:pPr>
      <w:rPr>
        <w:rFonts w:ascii="Wingdings 2" w:hAnsi="Wingdings 2" w:hint="default"/>
      </w:rPr>
    </w:lvl>
    <w:lvl w:ilvl="8" w:tplc="5B60CA3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D09406C"/>
    <w:multiLevelType w:val="hybridMultilevel"/>
    <w:tmpl w:val="609A6BE8"/>
    <w:lvl w:ilvl="0" w:tplc="2F4AAFC0">
      <w:start w:val="1"/>
      <w:numFmt w:val="upperRoman"/>
      <w:lvlText w:val="%1."/>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D3D04DA8">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88409D5A">
      <w:start w:val="1"/>
      <w:numFmt w:val="lowerRoman"/>
      <w:lvlText w:val="%3."/>
      <w:lvlJc w:val="left"/>
      <w:pPr>
        <w:ind w:left="216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1810942A">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BB54FEA0">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8BA7F66">
      <w:start w:val="1"/>
      <w:numFmt w:val="lowerRoman"/>
      <w:lvlText w:val="%6."/>
      <w:lvlJc w:val="left"/>
      <w:pPr>
        <w:ind w:left="432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D1FE786A">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139A7558">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462EBE4C">
      <w:start w:val="1"/>
      <w:numFmt w:val="lowerRoman"/>
      <w:lvlText w:val="%9."/>
      <w:lvlJc w:val="left"/>
      <w:pPr>
        <w:ind w:left="648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03D2B8C"/>
    <w:multiLevelType w:val="hybridMultilevel"/>
    <w:tmpl w:val="BAC83D04"/>
    <w:lvl w:ilvl="0" w:tplc="11BA799A">
      <w:start w:val="1"/>
      <w:numFmt w:val="upperRoman"/>
      <w:lvlText w:val="%1."/>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897A83E4">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4CB65E96">
      <w:start w:val="1"/>
      <w:numFmt w:val="lowerRoman"/>
      <w:lvlText w:val="%3."/>
      <w:lvlJc w:val="left"/>
      <w:pPr>
        <w:ind w:left="216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1256AB54">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24ECF320">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BB4CD4EE">
      <w:start w:val="1"/>
      <w:numFmt w:val="lowerRoman"/>
      <w:lvlText w:val="%6."/>
      <w:lvlJc w:val="left"/>
      <w:pPr>
        <w:ind w:left="432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653ADDD6">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F1061C46">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13228442">
      <w:start w:val="1"/>
      <w:numFmt w:val="lowerRoman"/>
      <w:lvlText w:val="%9."/>
      <w:lvlJc w:val="left"/>
      <w:pPr>
        <w:ind w:left="648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1FF097D"/>
    <w:multiLevelType w:val="hybridMultilevel"/>
    <w:tmpl w:val="80BAB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A7067E"/>
    <w:multiLevelType w:val="hybridMultilevel"/>
    <w:tmpl w:val="78328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770CE1"/>
    <w:multiLevelType w:val="hybridMultilevel"/>
    <w:tmpl w:val="79E48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C664ED"/>
    <w:multiLevelType w:val="hybridMultilevel"/>
    <w:tmpl w:val="48C41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5373D5"/>
    <w:multiLevelType w:val="hybridMultilevel"/>
    <w:tmpl w:val="F5AA3AA0"/>
    <w:lvl w:ilvl="0" w:tplc="D87A3F12">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B4B08"/>
    <w:multiLevelType w:val="hybridMultilevel"/>
    <w:tmpl w:val="83B89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3640C2"/>
    <w:multiLevelType w:val="hybridMultilevel"/>
    <w:tmpl w:val="39BA185C"/>
    <w:lvl w:ilvl="0" w:tplc="F15CE3EC">
      <w:start w:val="1"/>
      <w:numFmt w:val="upperRoman"/>
      <w:lvlText w:val="%1."/>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2A83BD0">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ED2AFDC8">
      <w:start w:val="1"/>
      <w:numFmt w:val="lowerRoman"/>
      <w:lvlText w:val="%3."/>
      <w:lvlJc w:val="left"/>
      <w:pPr>
        <w:ind w:left="216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69DEEC6E">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DB8E9360">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30963C3E">
      <w:start w:val="1"/>
      <w:numFmt w:val="lowerRoman"/>
      <w:lvlText w:val="%6."/>
      <w:lvlJc w:val="left"/>
      <w:pPr>
        <w:ind w:left="432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67522B52">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3A0A554">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280E2924">
      <w:start w:val="1"/>
      <w:numFmt w:val="lowerRoman"/>
      <w:lvlText w:val="%9."/>
      <w:lvlJc w:val="left"/>
      <w:pPr>
        <w:ind w:left="648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73C7589D"/>
    <w:multiLevelType w:val="hybridMultilevel"/>
    <w:tmpl w:val="8EE6A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AF2DE5"/>
    <w:multiLevelType w:val="hybridMultilevel"/>
    <w:tmpl w:val="C75CC708"/>
    <w:lvl w:ilvl="0" w:tplc="1C1224B8">
      <w:start w:val="1"/>
      <w:numFmt w:val="upperRoman"/>
      <w:lvlText w:val="%1."/>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EFA04D94">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B0229060">
      <w:start w:val="1"/>
      <w:numFmt w:val="lowerRoman"/>
      <w:lvlText w:val="%3."/>
      <w:lvlJc w:val="left"/>
      <w:pPr>
        <w:ind w:left="216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17EAE6C4">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99549DEA">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81A04812">
      <w:start w:val="1"/>
      <w:numFmt w:val="lowerRoman"/>
      <w:lvlText w:val="%6."/>
      <w:lvlJc w:val="left"/>
      <w:pPr>
        <w:ind w:left="432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61A2FAB4">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7F22AA02">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B8A05712">
      <w:start w:val="1"/>
      <w:numFmt w:val="lowerRoman"/>
      <w:lvlText w:val="%9."/>
      <w:lvlJc w:val="left"/>
      <w:pPr>
        <w:ind w:left="6480" w:hanging="2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BB81888"/>
    <w:multiLevelType w:val="hybridMultilevel"/>
    <w:tmpl w:val="973C8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E2933EF"/>
    <w:multiLevelType w:val="hybridMultilevel"/>
    <w:tmpl w:val="15E416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8"/>
    <w:lvlOverride w:ilvl="0">
      <w:startOverride w:val="2"/>
    </w:lvlOverride>
  </w:num>
  <w:num w:numId="3">
    <w:abstractNumId w:val="11"/>
    <w:lvlOverride w:ilvl="0">
      <w:startOverride w:val="3"/>
    </w:lvlOverride>
  </w:num>
  <w:num w:numId="4">
    <w:abstractNumId w:val="4"/>
    <w:lvlOverride w:ilvl="0">
      <w:startOverride w:val="4"/>
    </w:lvlOverride>
  </w:num>
  <w:num w:numId="5">
    <w:abstractNumId w:val="10"/>
    <w:lvlOverride w:ilvl="0">
      <w:startOverride w:val="6"/>
    </w:lvlOverride>
  </w:num>
  <w:num w:numId="6">
    <w:abstractNumId w:val="20"/>
    <w:lvlOverride w:ilvl="0">
      <w:startOverride w:val="7"/>
    </w:lvlOverride>
  </w:num>
  <w:num w:numId="7">
    <w:abstractNumId w:val="18"/>
    <w:lvlOverride w:ilvl="0">
      <w:startOverride w:val="8"/>
    </w:lvlOverride>
  </w:num>
  <w:num w:numId="8">
    <w:abstractNumId w:val="16"/>
  </w:num>
  <w:num w:numId="9">
    <w:abstractNumId w:val="7"/>
  </w:num>
  <w:num w:numId="10">
    <w:abstractNumId w:val="9"/>
  </w:num>
  <w:num w:numId="11">
    <w:abstractNumId w:val="3"/>
  </w:num>
  <w:num w:numId="12">
    <w:abstractNumId w:val="5"/>
  </w:num>
  <w:num w:numId="13">
    <w:abstractNumId w:val="12"/>
  </w:num>
  <w:num w:numId="14">
    <w:abstractNumId w:val="1"/>
  </w:num>
  <w:num w:numId="15">
    <w:abstractNumId w:val="13"/>
  </w:num>
  <w:num w:numId="16">
    <w:abstractNumId w:val="17"/>
  </w:num>
  <w:num w:numId="17">
    <w:abstractNumId w:val="0"/>
  </w:num>
  <w:num w:numId="18">
    <w:abstractNumId w:val="21"/>
  </w:num>
  <w:num w:numId="19">
    <w:abstractNumId w:val="14"/>
  </w:num>
  <w:num w:numId="20">
    <w:abstractNumId w:val="6"/>
  </w:num>
  <w:num w:numId="21">
    <w:abstractNumId w:val="19"/>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79"/>
    <w:rsid w:val="0000778D"/>
    <w:rsid w:val="000167F0"/>
    <w:rsid w:val="0002133A"/>
    <w:rsid w:val="0003342C"/>
    <w:rsid w:val="00043307"/>
    <w:rsid w:val="00047FD1"/>
    <w:rsid w:val="000513A5"/>
    <w:rsid w:val="000616BB"/>
    <w:rsid w:val="00066CCE"/>
    <w:rsid w:val="00073B58"/>
    <w:rsid w:val="00077F97"/>
    <w:rsid w:val="0008467A"/>
    <w:rsid w:val="000E7FCC"/>
    <w:rsid w:val="000F000C"/>
    <w:rsid w:val="00101C1F"/>
    <w:rsid w:val="00140923"/>
    <w:rsid w:val="0015212B"/>
    <w:rsid w:val="0016163A"/>
    <w:rsid w:val="00190872"/>
    <w:rsid w:val="001A472A"/>
    <w:rsid w:val="001A4AA9"/>
    <w:rsid w:val="001A666C"/>
    <w:rsid w:val="001E3BA1"/>
    <w:rsid w:val="002036CC"/>
    <w:rsid w:val="0021382A"/>
    <w:rsid w:val="00221BE1"/>
    <w:rsid w:val="00226F2C"/>
    <w:rsid w:val="00232C40"/>
    <w:rsid w:val="002524D4"/>
    <w:rsid w:val="002566B3"/>
    <w:rsid w:val="00261B4A"/>
    <w:rsid w:val="00267897"/>
    <w:rsid w:val="0027404B"/>
    <w:rsid w:val="00274B9B"/>
    <w:rsid w:val="002854FA"/>
    <w:rsid w:val="00290558"/>
    <w:rsid w:val="002B2BF8"/>
    <w:rsid w:val="002B2F4F"/>
    <w:rsid w:val="002C5512"/>
    <w:rsid w:val="002D2E6A"/>
    <w:rsid w:val="002D43D9"/>
    <w:rsid w:val="002D58C5"/>
    <w:rsid w:val="002F5A40"/>
    <w:rsid w:val="002F74B4"/>
    <w:rsid w:val="00310ACA"/>
    <w:rsid w:val="003157E4"/>
    <w:rsid w:val="00322FF7"/>
    <w:rsid w:val="00350B28"/>
    <w:rsid w:val="00353D98"/>
    <w:rsid w:val="003642B6"/>
    <w:rsid w:val="003908AF"/>
    <w:rsid w:val="003932B3"/>
    <w:rsid w:val="003A28E0"/>
    <w:rsid w:val="003A3458"/>
    <w:rsid w:val="003A7305"/>
    <w:rsid w:val="003D1A7B"/>
    <w:rsid w:val="003E2061"/>
    <w:rsid w:val="003E5E3C"/>
    <w:rsid w:val="003E6D49"/>
    <w:rsid w:val="004202A6"/>
    <w:rsid w:val="0046171E"/>
    <w:rsid w:val="0046495C"/>
    <w:rsid w:val="0047188D"/>
    <w:rsid w:val="004819B5"/>
    <w:rsid w:val="0048691A"/>
    <w:rsid w:val="00495640"/>
    <w:rsid w:val="004B4CE5"/>
    <w:rsid w:val="004C6101"/>
    <w:rsid w:val="004D4051"/>
    <w:rsid w:val="005207A9"/>
    <w:rsid w:val="0052525E"/>
    <w:rsid w:val="00540554"/>
    <w:rsid w:val="0054538E"/>
    <w:rsid w:val="00546BE7"/>
    <w:rsid w:val="00553964"/>
    <w:rsid w:val="00561E8F"/>
    <w:rsid w:val="005664B5"/>
    <w:rsid w:val="0057001B"/>
    <w:rsid w:val="005934EE"/>
    <w:rsid w:val="00595951"/>
    <w:rsid w:val="005A6F74"/>
    <w:rsid w:val="005B377A"/>
    <w:rsid w:val="005C0611"/>
    <w:rsid w:val="005C16F6"/>
    <w:rsid w:val="005F4765"/>
    <w:rsid w:val="006109E4"/>
    <w:rsid w:val="0061121A"/>
    <w:rsid w:val="00625183"/>
    <w:rsid w:val="006260DB"/>
    <w:rsid w:val="006327FD"/>
    <w:rsid w:val="00633BC3"/>
    <w:rsid w:val="00634EFC"/>
    <w:rsid w:val="00665343"/>
    <w:rsid w:val="00696021"/>
    <w:rsid w:val="00696855"/>
    <w:rsid w:val="006B2B1D"/>
    <w:rsid w:val="006E6B0A"/>
    <w:rsid w:val="006E74A2"/>
    <w:rsid w:val="006E7F8C"/>
    <w:rsid w:val="00723C95"/>
    <w:rsid w:val="00733CEF"/>
    <w:rsid w:val="007510F3"/>
    <w:rsid w:val="00752179"/>
    <w:rsid w:val="0075611B"/>
    <w:rsid w:val="00756F62"/>
    <w:rsid w:val="00766277"/>
    <w:rsid w:val="00766FDB"/>
    <w:rsid w:val="00772B25"/>
    <w:rsid w:val="007837F7"/>
    <w:rsid w:val="00796A63"/>
    <w:rsid w:val="007B239F"/>
    <w:rsid w:val="007C2D8C"/>
    <w:rsid w:val="008162C2"/>
    <w:rsid w:val="00816679"/>
    <w:rsid w:val="008169AE"/>
    <w:rsid w:val="00833458"/>
    <w:rsid w:val="008419AF"/>
    <w:rsid w:val="00856B67"/>
    <w:rsid w:val="00866184"/>
    <w:rsid w:val="00874AAB"/>
    <w:rsid w:val="008759A2"/>
    <w:rsid w:val="0087610E"/>
    <w:rsid w:val="00886641"/>
    <w:rsid w:val="008C14B4"/>
    <w:rsid w:val="008D2291"/>
    <w:rsid w:val="008D6F78"/>
    <w:rsid w:val="008E0365"/>
    <w:rsid w:val="008E384F"/>
    <w:rsid w:val="00901D7C"/>
    <w:rsid w:val="0095307F"/>
    <w:rsid w:val="00966A17"/>
    <w:rsid w:val="00983B53"/>
    <w:rsid w:val="009A48DC"/>
    <w:rsid w:val="009A5FDC"/>
    <w:rsid w:val="009B47A5"/>
    <w:rsid w:val="009E53D1"/>
    <w:rsid w:val="009F2CDA"/>
    <w:rsid w:val="00A07FD9"/>
    <w:rsid w:val="00A17E48"/>
    <w:rsid w:val="00A43995"/>
    <w:rsid w:val="00A47317"/>
    <w:rsid w:val="00A54D0D"/>
    <w:rsid w:val="00A76869"/>
    <w:rsid w:val="00A92FEE"/>
    <w:rsid w:val="00A930B5"/>
    <w:rsid w:val="00AA2C83"/>
    <w:rsid w:val="00AB4245"/>
    <w:rsid w:val="00AC440F"/>
    <w:rsid w:val="00AD7E8A"/>
    <w:rsid w:val="00AE2944"/>
    <w:rsid w:val="00AE3510"/>
    <w:rsid w:val="00AF72E0"/>
    <w:rsid w:val="00B05DF9"/>
    <w:rsid w:val="00B20EC4"/>
    <w:rsid w:val="00B22F03"/>
    <w:rsid w:val="00B36DAB"/>
    <w:rsid w:val="00B37C7A"/>
    <w:rsid w:val="00B73890"/>
    <w:rsid w:val="00B75A9B"/>
    <w:rsid w:val="00B91602"/>
    <w:rsid w:val="00C13E11"/>
    <w:rsid w:val="00C14DEC"/>
    <w:rsid w:val="00C1597B"/>
    <w:rsid w:val="00C17B35"/>
    <w:rsid w:val="00C20CF2"/>
    <w:rsid w:val="00C23F9D"/>
    <w:rsid w:val="00C25DDB"/>
    <w:rsid w:val="00C339F7"/>
    <w:rsid w:val="00C40583"/>
    <w:rsid w:val="00C534DE"/>
    <w:rsid w:val="00C556E5"/>
    <w:rsid w:val="00C569D8"/>
    <w:rsid w:val="00C60978"/>
    <w:rsid w:val="00C6337F"/>
    <w:rsid w:val="00C73C8C"/>
    <w:rsid w:val="00CA156C"/>
    <w:rsid w:val="00D014EC"/>
    <w:rsid w:val="00D15849"/>
    <w:rsid w:val="00D27A0C"/>
    <w:rsid w:val="00D34102"/>
    <w:rsid w:val="00D40630"/>
    <w:rsid w:val="00D56FCB"/>
    <w:rsid w:val="00D637FA"/>
    <w:rsid w:val="00D6720A"/>
    <w:rsid w:val="00D871D3"/>
    <w:rsid w:val="00D971F5"/>
    <w:rsid w:val="00DA29D3"/>
    <w:rsid w:val="00DB5471"/>
    <w:rsid w:val="00DB6BC7"/>
    <w:rsid w:val="00DB70C2"/>
    <w:rsid w:val="00DC31A4"/>
    <w:rsid w:val="00DC5146"/>
    <w:rsid w:val="00DE486E"/>
    <w:rsid w:val="00E02446"/>
    <w:rsid w:val="00E10F5E"/>
    <w:rsid w:val="00E13BDB"/>
    <w:rsid w:val="00E2298D"/>
    <w:rsid w:val="00E34B94"/>
    <w:rsid w:val="00E83517"/>
    <w:rsid w:val="00E90175"/>
    <w:rsid w:val="00EB73B4"/>
    <w:rsid w:val="00EC4889"/>
    <w:rsid w:val="00EE1A69"/>
    <w:rsid w:val="00EE30C8"/>
    <w:rsid w:val="00EE6C17"/>
    <w:rsid w:val="00EF3585"/>
    <w:rsid w:val="00F21610"/>
    <w:rsid w:val="00F26CDF"/>
    <w:rsid w:val="00F443B0"/>
    <w:rsid w:val="00F60DEB"/>
    <w:rsid w:val="00F8198E"/>
    <w:rsid w:val="00F91B80"/>
    <w:rsid w:val="00F96282"/>
    <w:rsid w:val="00FA5D7E"/>
    <w:rsid w:val="00FB1E7E"/>
    <w:rsid w:val="00FC45BF"/>
    <w:rsid w:val="00FE23F5"/>
    <w:rsid w:val="00FF2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3A9D"/>
  <w15:chartTrackingRefBased/>
  <w15:docId w15:val="{DADAD7D1-E12B-4B7C-A464-86686251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80898679540316546gmail-s1">
    <w:name w:val="m_780898679540316546gmail-s1"/>
    <w:rsid w:val="00816679"/>
  </w:style>
  <w:style w:type="paragraph" w:styleId="ListParagraph">
    <w:name w:val="List Paragraph"/>
    <w:uiPriority w:val="34"/>
    <w:qFormat/>
    <w:rsid w:val="00816679"/>
    <w:pPr>
      <w:pBdr>
        <w:top w:val="nil"/>
        <w:left w:val="nil"/>
        <w:bottom w:val="nil"/>
        <w:right w:val="nil"/>
        <w:between w:val="nil"/>
        <w:bar w:val="nil"/>
      </w:pBdr>
      <w:ind w:left="720"/>
    </w:pPr>
    <w:rPr>
      <w:rFonts w:ascii="Calibri" w:eastAsia="Arial Unicode MS" w:hAnsi="Calibri" w:cs="Arial Unicode MS"/>
      <w:color w:val="000000"/>
      <w:u w:color="000000"/>
      <w:bdr w:val="nil"/>
      <w:lang w:val="en-US"/>
    </w:rPr>
  </w:style>
  <w:style w:type="character" w:styleId="CommentReference">
    <w:name w:val="annotation reference"/>
    <w:basedOn w:val="DefaultParagraphFont"/>
    <w:uiPriority w:val="99"/>
    <w:semiHidden/>
    <w:unhideWhenUsed/>
    <w:rsid w:val="00816679"/>
    <w:rPr>
      <w:sz w:val="16"/>
      <w:szCs w:val="16"/>
    </w:rPr>
  </w:style>
  <w:style w:type="paragraph" w:styleId="CommentText">
    <w:name w:val="annotation text"/>
    <w:basedOn w:val="Normal"/>
    <w:link w:val="CommentTextChar"/>
    <w:uiPriority w:val="99"/>
    <w:unhideWhenUsed/>
    <w:qFormat/>
    <w:rsid w:val="00816679"/>
    <w:pPr>
      <w:spacing w:line="240" w:lineRule="auto"/>
    </w:pPr>
    <w:rPr>
      <w:sz w:val="20"/>
      <w:szCs w:val="20"/>
    </w:rPr>
  </w:style>
  <w:style w:type="character" w:customStyle="1" w:styleId="CommentTextChar">
    <w:name w:val="Comment Text Char"/>
    <w:basedOn w:val="DefaultParagraphFont"/>
    <w:link w:val="CommentText"/>
    <w:uiPriority w:val="99"/>
    <w:qFormat/>
    <w:rsid w:val="00816679"/>
    <w:rPr>
      <w:sz w:val="20"/>
      <w:szCs w:val="20"/>
    </w:rPr>
  </w:style>
  <w:style w:type="paragraph" w:styleId="CommentSubject">
    <w:name w:val="annotation subject"/>
    <w:basedOn w:val="CommentText"/>
    <w:next w:val="CommentText"/>
    <w:link w:val="CommentSubjectChar"/>
    <w:uiPriority w:val="99"/>
    <w:semiHidden/>
    <w:unhideWhenUsed/>
    <w:rsid w:val="00816679"/>
    <w:rPr>
      <w:b/>
      <w:bCs/>
    </w:rPr>
  </w:style>
  <w:style w:type="character" w:customStyle="1" w:styleId="CommentSubjectChar">
    <w:name w:val="Comment Subject Char"/>
    <w:basedOn w:val="CommentTextChar"/>
    <w:link w:val="CommentSubject"/>
    <w:uiPriority w:val="99"/>
    <w:semiHidden/>
    <w:rsid w:val="00816679"/>
    <w:rPr>
      <w:b/>
      <w:bCs/>
      <w:sz w:val="20"/>
      <w:szCs w:val="20"/>
    </w:rPr>
  </w:style>
  <w:style w:type="paragraph" w:styleId="BalloonText">
    <w:name w:val="Balloon Text"/>
    <w:basedOn w:val="Normal"/>
    <w:link w:val="BalloonTextChar"/>
    <w:uiPriority w:val="99"/>
    <w:semiHidden/>
    <w:unhideWhenUsed/>
    <w:rsid w:val="00816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679"/>
    <w:rPr>
      <w:rFonts w:ascii="Segoe UI" w:hAnsi="Segoe UI" w:cs="Segoe UI"/>
      <w:sz w:val="18"/>
      <w:szCs w:val="18"/>
    </w:rPr>
  </w:style>
  <w:style w:type="paragraph" w:styleId="NormalWeb">
    <w:name w:val="Normal (Web)"/>
    <w:basedOn w:val="Normal"/>
    <w:uiPriority w:val="99"/>
    <w:unhideWhenUsed/>
    <w:rsid w:val="00140923"/>
    <w:pPr>
      <w:spacing w:before="100" w:beforeAutospacing="1" w:after="100" w:afterAutospacing="1" w:line="240" w:lineRule="auto"/>
    </w:pPr>
    <w:rPr>
      <w:rFonts w:ascii="Times New Roman" w:eastAsia="Times New Roman" w:hAnsi="Times New Roman" w:cs="Times New Roman"/>
      <w:color w:val="000000" w:themeColor="text1"/>
      <w:sz w:val="24"/>
      <w:szCs w:val="24"/>
      <w:lang w:val="en-US"/>
    </w:rPr>
  </w:style>
  <w:style w:type="paragraph" w:customStyle="1" w:styleId="Normal1">
    <w:name w:val="Normal1"/>
    <w:rsid w:val="00140923"/>
    <w:pPr>
      <w:widowControl w:val="0"/>
      <w:spacing w:after="0" w:line="240" w:lineRule="auto"/>
      <w:contextualSpacing/>
    </w:pPr>
    <w:rPr>
      <w:rFonts w:ascii="Cambria" w:eastAsia="Cambria" w:hAnsi="Cambria" w:cs="Cambria"/>
      <w:color w:val="000000"/>
      <w:sz w:val="24"/>
      <w:szCs w:val="24"/>
      <w:lang w:val="en-US" w:eastAsia="ja-JP"/>
    </w:rPr>
  </w:style>
  <w:style w:type="table" w:styleId="TableGrid">
    <w:name w:val="Table Grid"/>
    <w:basedOn w:val="TableNormal"/>
    <w:uiPriority w:val="39"/>
    <w:rsid w:val="0059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8C5"/>
    <w:pPr>
      <w:spacing w:after="0" w:line="240" w:lineRule="auto"/>
    </w:pPr>
  </w:style>
  <w:style w:type="paragraph" w:styleId="Caption">
    <w:name w:val="caption"/>
    <w:basedOn w:val="Normal"/>
    <w:next w:val="Normal"/>
    <w:uiPriority w:val="35"/>
    <w:unhideWhenUsed/>
    <w:qFormat/>
    <w:rsid w:val="00A43995"/>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DC51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146"/>
    <w:rPr>
      <w:sz w:val="20"/>
      <w:szCs w:val="20"/>
    </w:rPr>
  </w:style>
  <w:style w:type="character" w:styleId="FootnoteReference">
    <w:name w:val="footnote reference"/>
    <w:basedOn w:val="DefaultParagraphFont"/>
    <w:uiPriority w:val="99"/>
    <w:semiHidden/>
    <w:unhideWhenUsed/>
    <w:rsid w:val="00DC51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491">
      <w:bodyDiv w:val="1"/>
      <w:marLeft w:val="0"/>
      <w:marRight w:val="0"/>
      <w:marTop w:val="0"/>
      <w:marBottom w:val="0"/>
      <w:divBdr>
        <w:top w:val="none" w:sz="0" w:space="0" w:color="auto"/>
        <w:left w:val="none" w:sz="0" w:space="0" w:color="auto"/>
        <w:bottom w:val="none" w:sz="0" w:space="0" w:color="auto"/>
        <w:right w:val="none" w:sz="0" w:space="0" w:color="auto"/>
      </w:divBdr>
    </w:div>
    <w:div w:id="301807702">
      <w:bodyDiv w:val="1"/>
      <w:marLeft w:val="0"/>
      <w:marRight w:val="0"/>
      <w:marTop w:val="0"/>
      <w:marBottom w:val="0"/>
      <w:divBdr>
        <w:top w:val="none" w:sz="0" w:space="0" w:color="auto"/>
        <w:left w:val="none" w:sz="0" w:space="0" w:color="auto"/>
        <w:bottom w:val="none" w:sz="0" w:space="0" w:color="auto"/>
        <w:right w:val="none" w:sz="0" w:space="0" w:color="auto"/>
      </w:divBdr>
    </w:div>
    <w:div w:id="697900481">
      <w:bodyDiv w:val="1"/>
      <w:marLeft w:val="0"/>
      <w:marRight w:val="0"/>
      <w:marTop w:val="0"/>
      <w:marBottom w:val="0"/>
      <w:divBdr>
        <w:top w:val="none" w:sz="0" w:space="0" w:color="auto"/>
        <w:left w:val="none" w:sz="0" w:space="0" w:color="auto"/>
        <w:bottom w:val="none" w:sz="0" w:space="0" w:color="auto"/>
        <w:right w:val="none" w:sz="0" w:space="0" w:color="auto"/>
      </w:divBdr>
    </w:div>
    <w:div w:id="791677614">
      <w:bodyDiv w:val="1"/>
      <w:marLeft w:val="0"/>
      <w:marRight w:val="0"/>
      <w:marTop w:val="0"/>
      <w:marBottom w:val="0"/>
      <w:divBdr>
        <w:top w:val="none" w:sz="0" w:space="0" w:color="auto"/>
        <w:left w:val="none" w:sz="0" w:space="0" w:color="auto"/>
        <w:bottom w:val="none" w:sz="0" w:space="0" w:color="auto"/>
        <w:right w:val="none" w:sz="0" w:space="0" w:color="auto"/>
      </w:divBdr>
    </w:div>
    <w:div w:id="844635281">
      <w:bodyDiv w:val="1"/>
      <w:marLeft w:val="0"/>
      <w:marRight w:val="0"/>
      <w:marTop w:val="0"/>
      <w:marBottom w:val="0"/>
      <w:divBdr>
        <w:top w:val="none" w:sz="0" w:space="0" w:color="auto"/>
        <w:left w:val="none" w:sz="0" w:space="0" w:color="auto"/>
        <w:bottom w:val="none" w:sz="0" w:space="0" w:color="auto"/>
        <w:right w:val="none" w:sz="0" w:space="0" w:color="auto"/>
      </w:divBdr>
    </w:div>
    <w:div w:id="893851742">
      <w:bodyDiv w:val="1"/>
      <w:marLeft w:val="0"/>
      <w:marRight w:val="0"/>
      <w:marTop w:val="0"/>
      <w:marBottom w:val="0"/>
      <w:divBdr>
        <w:top w:val="none" w:sz="0" w:space="0" w:color="auto"/>
        <w:left w:val="none" w:sz="0" w:space="0" w:color="auto"/>
        <w:bottom w:val="none" w:sz="0" w:space="0" w:color="auto"/>
        <w:right w:val="none" w:sz="0" w:space="0" w:color="auto"/>
      </w:divBdr>
    </w:div>
    <w:div w:id="949825799">
      <w:bodyDiv w:val="1"/>
      <w:marLeft w:val="0"/>
      <w:marRight w:val="0"/>
      <w:marTop w:val="0"/>
      <w:marBottom w:val="0"/>
      <w:divBdr>
        <w:top w:val="none" w:sz="0" w:space="0" w:color="auto"/>
        <w:left w:val="none" w:sz="0" w:space="0" w:color="auto"/>
        <w:bottom w:val="none" w:sz="0" w:space="0" w:color="auto"/>
        <w:right w:val="none" w:sz="0" w:space="0" w:color="auto"/>
      </w:divBdr>
    </w:div>
    <w:div w:id="1122109951">
      <w:bodyDiv w:val="1"/>
      <w:marLeft w:val="0"/>
      <w:marRight w:val="0"/>
      <w:marTop w:val="0"/>
      <w:marBottom w:val="0"/>
      <w:divBdr>
        <w:top w:val="none" w:sz="0" w:space="0" w:color="auto"/>
        <w:left w:val="none" w:sz="0" w:space="0" w:color="auto"/>
        <w:bottom w:val="none" w:sz="0" w:space="0" w:color="auto"/>
        <w:right w:val="none" w:sz="0" w:space="0" w:color="auto"/>
      </w:divBdr>
      <w:divsChild>
        <w:div w:id="626475880">
          <w:marLeft w:val="994"/>
          <w:marRight w:val="0"/>
          <w:marTop w:val="96"/>
          <w:marBottom w:val="120"/>
          <w:divBdr>
            <w:top w:val="none" w:sz="0" w:space="0" w:color="auto"/>
            <w:left w:val="none" w:sz="0" w:space="0" w:color="auto"/>
            <w:bottom w:val="none" w:sz="0" w:space="0" w:color="auto"/>
            <w:right w:val="none" w:sz="0" w:space="0" w:color="auto"/>
          </w:divBdr>
        </w:div>
        <w:div w:id="2097898052">
          <w:marLeft w:val="994"/>
          <w:marRight w:val="0"/>
          <w:marTop w:val="96"/>
          <w:marBottom w:val="120"/>
          <w:divBdr>
            <w:top w:val="none" w:sz="0" w:space="0" w:color="auto"/>
            <w:left w:val="none" w:sz="0" w:space="0" w:color="auto"/>
            <w:bottom w:val="none" w:sz="0" w:space="0" w:color="auto"/>
            <w:right w:val="none" w:sz="0" w:space="0" w:color="auto"/>
          </w:divBdr>
        </w:div>
        <w:div w:id="542331970">
          <w:marLeft w:val="994"/>
          <w:marRight w:val="0"/>
          <w:marTop w:val="96"/>
          <w:marBottom w:val="120"/>
          <w:divBdr>
            <w:top w:val="none" w:sz="0" w:space="0" w:color="auto"/>
            <w:left w:val="none" w:sz="0" w:space="0" w:color="auto"/>
            <w:bottom w:val="none" w:sz="0" w:space="0" w:color="auto"/>
            <w:right w:val="none" w:sz="0" w:space="0" w:color="auto"/>
          </w:divBdr>
        </w:div>
        <w:div w:id="392392190">
          <w:marLeft w:val="994"/>
          <w:marRight w:val="0"/>
          <w:marTop w:val="96"/>
          <w:marBottom w:val="120"/>
          <w:divBdr>
            <w:top w:val="none" w:sz="0" w:space="0" w:color="auto"/>
            <w:left w:val="none" w:sz="0" w:space="0" w:color="auto"/>
            <w:bottom w:val="none" w:sz="0" w:space="0" w:color="auto"/>
            <w:right w:val="none" w:sz="0" w:space="0" w:color="auto"/>
          </w:divBdr>
        </w:div>
      </w:divsChild>
    </w:div>
    <w:div w:id="1132558591">
      <w:bodyDiv w:val="1"/>
      <w:marLeft w:val="0"/>
      <w:marRight w:val="0"/>
      <w:marTop w:val="0"/>
      <w:marBottom w:val="0"/>
      <w:divBdr>
        <w:top w:val="none" w:sz="0" w:space="0" w:color="auto"/>
        <w:left w:val="none" w:sz="0" w:space="0" w:color="auto"/>
        <w:bottom w:val="none" w:sz="0" w:space="0" w:color="auto"/>
        <w:right w:val="none" w:sz="0" w:space="0" w:color="auto"/>
      </w:divBdr>
    </w:div>
    <w:div w:id="1232157054">
      <w:bodyDiv w:val="1"/>
      <w:marLeft w:val="0"/>
      <w:marRight w:val="0"/>
      <w:marTop w:val="0"/>
      <w:marBottom w:val="0"/>
      <w:divBdr>
        <w:top w:val="none" w:sz="0" w:space="0" w:color="auto"/>
        <w:left w:val="none" w:sz="0" w:space="0" w:color="auto"/>
        <w:bottom w:val="none" w:sz="0" w:space="0" w:color="auto"/>
        <w:right w:val="none" w:sz="0" w:space="0" w:color="auto"/>
      </w:divBdr>
    </w:div>
    <w:div w:id="1234126760">
      <w:bodyDiv w:val="1"/>
      <w:marLeft w:val="0"/>
      <w:marRight w:val="0"/>
      <w:marTop w:val="0"/>
      <w:marBottom w:val="0"/>
      <w:divBdr>
        <w:top w:val="none" w:sz="0" w:space="0" w:color="auto"/>
        <w:left w:val="none" w:sz="0" w:space="0" w:color="auto"/>
        <w:bottom w:val="none" w:sz="0" w:space="0" w:color="auto"/>
        <w:right w:val="none" w:sz="0" w:space="0" w:color="auto"/>
      </w:divBdr>
    </w:div>
    <w:div w:id="1240361338">
      <w:bodyDiv w:val="1"/>
      <w:marLeft w:val="0"/>
      <w:marRight w:val="0"/>
      <w:marTop w:val="0"/>
      <w:marBottom w:val="0"/>
      <w:divBdr>
        <w:top w:val="none" w:sz="0" w:space="0" w:color="auto"/>
        <w:left w:val="none" w:sz="0" w:space="0" w:color="auto"/>
        <w:bottom w:val="none" w:sz="0" w:space="0" w:color="auto"/>
        <w:right w:val="none" w:sz="0" w:space="0" w:color="auto"/>
      </w:divBdr>
    </w:div>
    <w:div w:id="1248071897">
      <w:bodyDiv w:val="1"/>
      <w:marLeft w:val="0"/>
      <w:marRight w:val="0"/>
      <w:marTop w:val="0"/>
      <w:marBottom w:val="0"/>
      <w:divBdr>
        <w:top w:val="none" w:sz="0" w:space="0" w:color="auto"/>
        <w:left w:val="none" w:sz="0" w:space="0" w:color="auto"/>
        <w:bottom w:val="none" w:sz="0" w:space="0" w:color="auto"/>
        <w:right w:val="none" w:sz="0" w:space="0" w:color="auto"/>
      </w:divBdr>
    </w:div>
    <w:div w:id="1280448659">
      <w:bodyDiv w:val="1"/>
      <w:marLeft w:val="0"/>
      <w:marRight w:val="0"/>
      <w:marTop w:val="0"/>
      <w:marBottom w:val="0"/>
      <w:divBdr>
        <w:top w:val="none" w:sz="0" w:space="0" w:color="auto"/>
        <w:left w:val="none" w:sz="0" w:space="0" w:color="auto"/>
        <w:bottom w:val="none" w:sz="0" w:space="0" w:color="auto"/>
        <w:right w:val="none" w:sz="0" w:space="0" w:color="auto"/>
      </w:divBdr>
    </w:div>
    <w:div w:id="1319724491">
      <w:bodyDiv w:val="1"/>
      <w:marLeft w:val="0"/>
      <w:marRight w:val="0"/>
      <w:marTop w:val="0"/>
      <w:marBottom w:val="0"/>
      <w:divBdr>
        <w:top w:val="none" w:sz="0" w:space="0" w:color="auto"/>
        <w:left w:val="none" w:sz="0" w:space="0" w:color="auto"/>
        <w:bottom w:val="none" w:sz="0" w:space="0" w:color="auto"/>
        <w:right w:val="none" w:sz="0" w:space="0" w:color="auto"/>
      </w:divBdr>
    </w:div>
    <w:div w:id="1459687804">
      <w:bodyDiv w:val="1"/>
      <w:marLeft w:val="0"/>
      <w:marRight w:val="0"/>
      <w:marTop w:val="0"/>
      <w:marBottom w:val="0"/>
      <w:divBdr>
        <w:top w:val="none" w:sz="0" w:space="0" w:color="auto"/>
        <w:left w:val="none" w:sz="0" w:space="0" w:color="auto"/>
        <w:bottom w:val="none" w:sz="0" w:space="0" w:color="auto"/>
        <w:right w:val="none" w:sz="0" w:space="0" w:color="auto"/>
      </w:divBdr>
    </w:div>
    <w:div w:id="1623610483">
      <w:bodyDiv w:val="1"/>
      <w:marLeft w:val="0"/>
      <w:marRight w:val="0"/>
      <w:marTop w:val="0"/>
      <w:marBottom w:val="0"/>
      <w:divBdr>
        <w:top w:val="none" w:sz="0" w:space="0" w:color="auto"/>
        <w:left w:val="none" w:sz="0" w:space="0" w:color="auto"/>
        <w:bottom w:val="none" w:sz="0" w:space="0" w:color="auto"/>
        <w:right w:val="none" w:sz="0" w:space="0" w:color="auto"/>
      </w:divBdr>
    </w:div>
    <w:div w:id="1650741550">
      <w:bodyDiv w:val="1"/>
      <w:marLeft w:val="0"/>
      <w:marRight w:val="0"/>
      <w:marTop w:val="0"/>
      <w:marBottom w:val="0"/>
      <w:divBdr>
        <w:top w:val="none" w:sz="0" w:space="0" w:color="auto"/>
        <w:left w:val="none" w:sz="0" w:space="0" w:color="auto"/>
        <w:bottom w:val="none" w:sz="0" w:space="0" w:color="auto"/>
        <w:right w:val="none" w:sz="0" w:space="0" w:color="auto"/>
      </w:divBdr>
    </w:div>
    <w:div w:id="1713119113">
      <w:bodyDiv w:val="1"/>
      <w:marLeft w:val="0"/>
      <w:marRight w:val="0"/>
      <w:marTop w:val="0"/>
      <w:marBottom w:val="0"/>
      <w:divBdr>
        <w:top w:val="none" w:sz="0" w:space="0" w:color="auto"/>
        <w:left w:val="none" w:sz="0" w:space="0" w:color="auto"/>
        <w:bottom w:val="none" w:sz="0" w:space="0" w:color="auto"/>
        <w:right w:val="none" w:sz="0" w:space="0" w:color="auto"/>
      </w:divBdr>
    </w:div>
    <w:div w:id="1890145207">
      <w:bodyDiv w:val="1"/>
      <w:marLeft w:val="0"/>
      <w:marRight w:val="0"/>
      <w:marTop w:val="0"/>
      <w:marBottom w:val="0"/>
      <w:divBdr>
        <w:top w:val="none" w:sz="0" w:space="0" w:color="auto"/>
        <w:left w:val="none" w:sz="0" w:space="0" w:color="auto"/>
        <w:bottom w:val="none" w:sz="0" w:space="0" w:color="auto"/>
        <w:right w:val="none" w:sz="0" w:space="0" w:color="auto"/>
      </w:divBdr>
    </w:div>
    <w:div w:id="1952978256">
      <w:bodyDiv w:val="1"/>
      <w:marLeft w:val="0"/>
      <w:marRight w:val="0"/>
      <w:marTop w:val="0"/>
      <w:marBottom w:val="0"/>
      <w:divBdr>
        <w:top w:val="none" w:sz="0" w:space="0" w:color="auto"/>
        <w:left w:val="none" w:sz="0" w:space="0" w:color="auto"/>
        <w:bottom w:val="none" w:sz="0" w:space="0" w:color="auto"/>
        <w:right w:val="none" w:sz="0" w:space="0" w:color="auto"/>
      </w:divBdr>
    </w:div>
    <w:div w:id="2098480515">
      <w:bodyDiv w:val="1"/>
      <w:marLeft w:val="0"/>
      <w:marRight w:val="0"/>
      <w:marTop w:val="0"/>
      <w:marBottom w:val="0"/>
      <w:divBdr>
        <w:top w:val="none" w:sz="0" w:space="0" w:color="auto"/>
        <w:left w:val="none" w:sz="0" w:space="0" w:color="auto"/>
        <w:bottom w:val="none" w:sz="0" w:space="0" w:color="auto"/>
        <w:right w:val="none" w:sz="0" w:space="0" w:color="auto"/>
      </w:divBdr>
    </w:div>
    <w:div w:id="21353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edium.com/@florcig/scale-up-in-time-revisiting-how-we-evidence-process-context-6c53f82a1817" TargetMode="External"/><Relationship Id="rId2" Type="http://schemas.openxmlformats.org/officeDocument/2006/relationships/hyperlink" Target="https://medium.com/@florcig/how-context-shapes-pathways-to-scale-in-social-accountability-post-4-of-5-d417cfe2b4f5" TargetMode="External"/><Relationship Id="rId1" Type="http://schemas.openxmlformats.org/officeDocument/2006/relationships/hyperlink" Target="https://thomasmtaston.medium.com/introducing-a-resonance-pathway-to-scale-6cacd5163c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E281-A2A3-4B99-8CAB-DE0F6A2C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10627</Words>
  <Characters>60576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Wadeson</dc:creator>
  <cp:keywords/>
  <dc:description/>
  <cp:lastModifiedBy>Alix Wadeson</cp:lastModifiedBy>
  <cp:revision>4</cp:revision>
  <dcterms:created xsi:type="dcterms:W3CDTF">2022-02-27T19:54:00Z</dcterms:created>
  <dcterms:modified xsi:type="dcterms:W3CDTF">2022-03-03T19:04:00Z</dcterms:modified>
</cp:coreProperties>
</file>